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5004" w14:textId="ba95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Орфандық аурулардың және оларды емдеуге арналған дәрілік заттардың (орфандық)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қазандағы № ҚР ДСМ - 142/2020 бұйрығы. Қазақстан Республикасының Әділет министрлігінде 2020 жылғы 22 қазанда № 21479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Орфандық аурулардың және оларды емдеуге арналған дәрілік заттардың (орфандық)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- 142/2020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Орфандық аурулардың және оларды емдеуге арналған дәрілік заттардың (орфандық) тізбесі</w:t>
      </w:r>
    </w:p>
    <w:bookmarkEnd w:id="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31.12.2021 </w:t>
      </w:r>
      <w:r>
        <w:rPr>
          <w:rFonts w:ascii="Times New Roman"/>
          <w:b w:val="false"/>
          <w:i w:val="false"/>
          <w:color w:val="ff0000"/>
          <w:sz w:val="28"/>
        </w:rPr>
        <w:t>№ ҚР ДСМ-142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аурулардың тізбесі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АХЖ-Х 10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қайта қараудың аурулардың халықаралық жіктелімі бойынша аурулар (тобы) (бұдан әрі - АХЖ-10)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өкпе және өкпеден тыс орындағы туберкулезі</w:t>
            </w:r>
          </w:p>
          <w:p>
            <w:pPr>
              <w:spacing w:after="20"/>
              <w:ind w:left="20"/>
              <w:jc w:val="both"/>
            </w:pPr>
            <w:r>
              <w:rPr>
                <w:rFonts w:ascii="Times New Roman"/>
                <w:b w:val="false"/>
                <w:i w:val="false"/>
                <w:color w:val="000000"/>
                <w:sz w:val="20"/>
              </w:rPr>
              <w:t>
Ауқымды дәріге көнбейтін өкпе және өкпеден тыс орындағы туберкулез</w:t>
            </w:r>
          </w:p>
          <w:p>
            <w:pPr>
              <w:spacing w:after="20"/>
              <w:ind w:left="20"/>
              <w:jc w:val="both"/>
            </w:pPr>
            <w:r>
              <w:rPr>
                <w:rFonts w:ascii="Times New Roman"/>
                <w:b w:val="false"/>
                <w:i w:val="false"/>
                <w:color w:val="000000"/>
                <w:sz w:val="20"/>
              </w:rPr>
              <w:t>
Аса ауқымды дәріге көнбейтін өкпе және өкпеден тыс орындағы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anthracis-тен туындаған күйдіргі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(бактериалық зооноздар)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вакцина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J07AC01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вирусы тудырған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 В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falciparum Pl.​Vivax, Pl. ovale, Pl. Malariae тудырған безгек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(протозойдық)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Мефлохин гидрохлорид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Артесунат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Примахин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Галофантрин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P01BX01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(протозойдық)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Паромомицина сульфат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Милтефозин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P01CX04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 (назофаренгиалдық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оның қосалқы торқабығы аппаратының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 (ретинобластома)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С71.0 – С71.9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қатерлі глиальды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 Маңдай бөлігінің қатерлі ісігі. Самай бөлігінің қатерлі ісігі. Шеке бөлігінің қатерлі ісігі. Қарақұс бөлігінің қатерлі ісігі. Ми қарыншаларының қатерлі ісігі. Мишықтың қатерлі ісігі. Ми сабауының қатерлі ісігі. Мидың жоғарыда көрсетілген бір немесе одан көп орын алу шегінен шығып жатқан зақымдануы. Мидың орналасу орны анықталмаған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(лимфагранулематоз)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Пралатрексат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88.0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 пролиферациялық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макроглобулинемиясы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мен қатерлі плазма жасушалы ісіктер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Плериксафор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Карфилзомиб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лимфобластық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Блинатумомаб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Пентостатин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Бозутиниб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p>
          <w:p>
            <w:pPr>
              <w:spacing w:after="20"/>
              <w:ind w:left="20"/>
              <w:jc w:val="both"/>
            </w:pPr>
            <w:r>
              <w:rPr>
                <w:rFonts w:ascii="Times New Roman"/>
                <w:b w:val="false"/>
                <w:i w:val="false"/>
                <w:color w:val="000000"/>
                <w:sz w:val="20"/>
              </w:rPr>
              <w:t>
C 92.4</w:t>
            </w:r>
          </w:p>
          <w:p>
            <w:pPr>
              <w:spacing w:after="20"/>
              <w:ind w:left="20"/>
              <w:jc w:val="both"/>
            </w:pPr>
            <w:r>
              <w:rPr>
                <w:rFonts w:ascii="Times New Roman"/>
                <w:b w:val="false"/>
                <w:i w:val="false"/>
                <w:color w:val="000000"/>
                <w:sz w:val="20"/>
              </w:rPr>
              <w:t>
С 92.5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w:t>
            </w:r>
          </w:p>
          <w:p>
            <w:pPr>
              <w:spacing w:after="20"/>
              <w:ind w:left="20"/>
              <w:jc w:val="both"/>
            </w:pPr>
            <w:r>
              <w:rPr>
                <w:rFonts w:ascii="Times New Roman"/>
                <w:b w:val="false"/>
                <w:i w:val="false"/>
                <w:color w:val="000000"/>
                <w:sz w:val="20"/>
              </w:rPr>
              <w:t>
Жіті промиелоцидті лейкоз</w:t>
            </w:r>
          </w:p>
          <w:p>
            <w:pPr>
              <w:spacing w:after="20"/>
              <w:ind w:left="20"/>
              <w:jc w:val="both"/>
            </w:pPr>
            <w:r>
              <w:rPr>
                <w:rFonts w:ascii="Times New Roman"/>
                <w:b w:val="false"/>
                <w:i w:val="false"/>
                <w:color w:val="000000"/>
                <w:sz w:val="20"/>
              </w:rPr>
              <w:t>
Жіті миеломоноцитті 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Гемтузумаб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Миелодтық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Моноцитарлық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созылмалы миеломоноцитарлық лейкоз, рефрактерлік анемия, бластар санының артуымен рефрактерлік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Антитимоцитарлық иммуноглобулин (қоян)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Идиоптиялық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56 D56.0-D 56.2 D 56.4</w:t>
            </w:r>
          </w:p>
          <w:p>
            <w:pPr>
              <w:spacing w:after="20"/>
              <w:ind w:left="20"/>
              <w:jc w:val="both"/>
            </w:pPr>
            <w:r>
              <w:rPr>
                <w:rFonts w:ascii="Times New Roman"/>
                <w:b w:val="false"/>
                <w:i w:val="false"/>
                <w:color w:val="000000"/>
                <w:sz w:val="20"/>
              </w:rPr>
              <w:t>
D 57 D57.0- D57.2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 бета-талассемия, дельта-бета-талассемия, гемоглобиннің тұқым қуалайтын қайталануы, кризбен орақ тәрізді- жасушалық бұзылулар, криз hb-SS ауруы, кризсіз орақ тәрізді- жасушалық анемия, қос гетерозиготтық орақ тәрізді жасушалы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 фактордың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Кристмас ауруы Гемофилия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Ангиогемофилия</w:t>
            </w:r>
          </w:p>
          <w:p>
            <w:pPr>
              <w:spacing w:after="20"/>
              <w:ind w:left="20"/>
              <w:jc w:val="both"/>
            </w:pPr>
            <w:r>
              <w:rPr>
                <w:rFonts w:ascii="Times New Roman"/>
                <w:b w:val="false"/>
                <w:i w:val="false"/>
                <w:color w:val="000000"/>
                <w:sz w:val="20"/>
              </w:rPr>
              <w:t>
Қан тамырларының бұзылыумен VIII фактордың жетіспеушілігі</w:t>
            </w:r>
          </w:p>
          <w:p>
            <w:pPr>
              <w:spacing w:after="20"/>
              <w:ind w:left="20"/>
              <w:jc w:val="both"/>
            </w:pPr>
            <w:r>
              <w:rPr>
                <w:rFonts w:ascii="Times New Roman"/>
                <w:b w:val="false"/>
                <w:i w:val="false"/>
                <w:color w:val="000000"/>
                <w:sz w:val="20"/>
              </w:rPr>
              <w:t>
Тамырлық гемофилия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афибриногенемия,</w:t>
            </w:r>
          </w:p>
          <w:p>
            <w:pPr>
              <w:spacing w:after="20"/>
              <w:ind w:left="20"/>
              <w:jc w:val="both"/>
            </w:pPr>
            <w:r>
              <w:rPr>
                <w:rFonts w:ascii="Times New Roman"/>
                <w:b w:val="false"/>
                <w:i w:val="false"/>
                <w:color w:val="000000"/>
                <w:sz w:val="20"/>
              </w:rPr>
              <w:t>
Фактор тапшылығы VІІ (тұрақты)</w:t>
            </w:r>
          </w:p>
          <w:p>
            <w:pPr>
              <w:spacing w:after="20"/>
              <w:ind w:left="20"/>
              <w:jc w:val="both"/>
            </w:pPr>
            <w:r>
              <w:rPr>
                <w:rFonts w:ascii="Times New Roman"/>
                <w:b w:val="false"/>
                <w:i w:val="false"/>
                <w:color w:val="000000"/>
                <w:sz w:val="20"/>
              </w:rPr>
              <w:t>
Фактор тапшылығы ІI (протромбиннің)</w:t>
            </w:r>
          </w:p>
          <w:p>
            <w:pPr>
              <w:spacing w:after="20"/>
              <w:ind w:left="20"/>
              <w:jc w:val="both"/>
            </w:pPr>
            <w:r>
              <w:rPr>
                <w:rFonts w:ascii="Times New Roman"/>
                <w:b w:val="false"/>
                <w:i w:val="false"/>
                <w:color w:val="000000"/>
                <w:sz w:val="20"/>
              </w:rPr>
              <w:t>
Фактор тапшылығы Х (Стюарттың-Прауэрдің)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 синдромы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пайда болған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80-D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қамтылған жеке бұзылулар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ингибитор - адам эстеразасы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(венаішілік ішіне енгізу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гиперфункцияларының басқа да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пайда болудың уақытынан бұрын жыныстық жетілуі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Гипогонадотроптық гипогонадизм.</w:t>
            </w:r>
          </w:p>
          <w:p>
            <w:pPr>
              <w:spacing w:after="20"/>
              <w:ind w:left="20"/>
              <w:jc w:val="both"/>
            </w:pPr>
            <w:r>
              <w:rPr>
                <w:rFonts w:ascii="Times New Roman"/>
                <w:b w:val="false"/>
                <w:i w:val="false"/>
                <w:color w:val="000000"/>
                <w:sz w:val="20"/>
              </w:rPr>
              <w:t>
Өсу гормонының идиопатиялық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 қышқылы метаболизмінің бұзылуына байланысты ферментопатия тобының тұқым қуалайтын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(2 типті гликогеноз)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(-Андерсон) ауруы,</w:t>
            </w:r>
          </w:p>
          <w:p>
            <w:pPr>
              <w:spacing w:after="20"/>
              <w:ind w:left="20"/>
              <w:jc w:val="both"/>
            </w:pPr>
            <w:r>
              <w:rPr>
                <w:rFonts w:ascii="Times New Roman"/>
                <w:b w:val="false"/>
                <w:i w:val="false"/>
                <w:color w:val="000000"/>
                <w:sz w:val="20"/>
              </w:rPr>
              <w:t>
Гаучер ауруы (Гоше ауруы),</w:t>
            </w:r>
          </w:p>
          <w:p>
            <w:pPr>
              <w:spacing w:after="20"/>
              <w:ind w:left="20"/>
              <w:jc w:val="both"/>
            </w:pPr>
            <w:r>
              <w:rPr>
                <w:rFonts w:ascii="Times New Roman"/>
                <w:b w:val="false"/>
                <w:i w:val="false"/>
                <w:color w:val="000000"/>
                <w:sz w:val="20"/>
              </w:rPr>
              <w:t>
Краббе ауруы,</w:t>
            </w:r>
          </w:p>
          <w:p>
            <w:pPr>
              <w:spacing w:after="20"/>
              <w:ind w:left="20"/>
              <w:jc w:val="both"/>
            </w:pPr>
            <w:r>
              <w:rPr>
                <w:rFonts w:ascii="Times New Roman"/>
                <w:b w:val="false"/>
                <w:i w:val="false"/>
                <w:color w:val="000000"/>
                <w:sz w:val="20"/>
              </w:rPr>
              <w:t>
Ниман-Пик ауруы (А,В,С типі),</w:t>
            </w:r>
          </w:p>
          <w:p>
            <w:pPr>
              <w:spacing w:after="20"/>
              <w:ind w:left="20"/>
              <w:jc w:val="both"/>
            </w:pPr>
            <w:r>
              <w:rPr>
                <w:rFonts w:ascii="Times New Roman"/>
                <w:b w:val="false"/>
                <w:i w:val="false"/>
                <w:color w:val="000000"/>
                <w:sz w:val="20"/>
              </w:rPr>
              <w:t>
Фабер синдромы, метахроматикалық лейкодистрофия, сульфатаза жеткіліксіздігі (көптеген сульфатаздық жеткіліксіздік)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Миглустат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Элиглустат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типті мукополисахаридоз: Гурлер, Гурлер-Шейе, Шейе синдромы, II типті мукополисахаридоз: Гунтер синдромы, басқа мукополисахаридоздар: бета-глюкуродиназа жеткіліксіздігі, III, IV, VI, VII мукополисахаридоз, синдромдары: Марото-Лами синдромы (жеңіл, ауыр), Морико (моркио-тәрізді, классикалық), Санфилиппо (В, С, D типті)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A16AB08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копропорфирия, кезектесетін жіті порфирия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B06AB01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Менкес ауруы, Вильсон ауруы, (Вильсон-Коновалов ауруы, гепатолентикулярлық дегенерация)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ацетат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 дигидрохлорид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жер орта теңізі қызбасы (кезеңдік ауру), тұқым қуалайтын амилоидты нефропатия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Колхицин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M04AC01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белоктары алмасуының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1-антитрипсин жеткіліксіздігі, бис-альбуминемия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 антитрипсин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 Қозғалтқыш невронның отбасылық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 күшейген арқа бұлшықеттік атрофиясы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Демиелинизацияланатын орталық нерв жүйесінің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 –G71.3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синапсы және бұлшықет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дистрофиясы: Дюшенн немесе Беккер типті аутосомды рецессивті, ерте контрактуралары (Эмери-Дрейфус) бар жауырын-перонеальды), дистальды иық-жауырын-бет, аяқ-қол-бел, көз бұлшық еті, көз жұтқыншақ (окулофарингеалды).</w:t>
            </w:r>
          </w:p>
          <w:p>
            <w:pPr>
              <w:spacing w:after="20"/>
              <w:ind w:left="20"/>
              <w:jc w:val="both"/>
            </w:pPr>
            <w:r>
              <w:rPr>
                <w:rFonts w:ascii="Times New Roman"/>
                <w:b w:val="false"/>
                <w:i w:val="false"/>
                <w:color w:val="000000"/>
                <w:sz w:val="20"/>
              </w:rPr>
              <w:t>
Миотоникалық Штейнер дистрофиясы. Миотония туа біткен Томсен. Исаакс нейромиотониясы. Туа біткен парамиотония. Туа біткен бұлшықет дистрофиясы: бұлшықет талшығының ерекше морфологиялық зақымдануы. Орталық ядро ауруы, миниядролы, мультиядролы Талшықтар типтерінің диспропорациясы. Миотубулярлы миопатия (орталық ядролы), немалиндік (немалинді дене ауру). Басқа айдарларда жіктелмеген митохондриялық миопатия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бұлшық ет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1 тапшылық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I глюкозасының транспортері тапшылығы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Тригептаноин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p>
            <w:pPr>
              <w:spacing w:after="20"/>
              <w:ind w:left="20"/>
              <w:jc w:val="both"/>
            </w:pPr>
            <w:r>
              <w:rPr>
                <w:rFonts w:ascii="Times New Roman"/>
                <w:b w:val="false"/>
                <w:i w:val="false"/>
                <w:color w:val="000000"/>
                <w:sz w:val="20"/>
              </w:rPr>
              <w:t>
J 84.0</w:t>
            </w:r>
          </w:p>
          <w:p>
            <w:pPr>
              <w:spacing w:after="20"/>
              <w:ind w:left="20"/>
              <w:jc w:val="both"/>
            </w:pPr>
            <w:r>
              <w:rPr>
                <w:rFonts w:ascii="Times New Roman"/>
                <w:b w:val="false"/>
                <w:i w:val="false"/>
                <w:color w:val="000000"/>
                <w:sz w:val="20"/>
              </w:rPr>
              <w:t>
J 84.1</w:t>
            </w:r>
          </w:p>
          <w:p>
            <w:pPr>
              <w:spacing w:after="20"/>
              <w:ind w:left="20"/>
              <w:jc w:val="both"/>
            </w:pPr>
            <w:r>
              <w:rPr>
                <w:rFonts w:ascii="Times New Roman"/>
                <w:b w:val="false"/>
                <w:i w:val="false"/>
                <w:color w:val="000000"/>
                <w:sz w:val="20"/>
              </w:rPr>
              <w:t>
J 84.8</w:t>
            </w:r>
          </w:p>
          <w:p>
            <w:pPr>
              <w:spacing w:after="20"/>
              <w:ind w:left="20"/>
              <w:jc w:val="both"/>
            </w:pPr>
            <w:r>
              <w:rPr>
                <w:rFonts w:ascii="Times New Roman"/>
                <w:b w:val="false"/>
                <w:i w:val="false"/>
                <w:color w:val="000000"/>
                <w:sz w:val="20"/>
              </w:rPr>
              <w:t>
J 84.9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Өкпесінің интерстициалдық басқа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өкпе ауруы, альвеолярлық және парието - альверлярлық бұзылулар, альвеолярлық протеиноз, өкпенің альвеолярлық микролитиазы, таралған өкпе фиброзы, криптогенді фиброздаушы альвеолит, Хаммен-Рич синдромы, идиопатиялық өкпенің фиброзы, лимфангиолейомио- матоз, нақтыланған интертициалдық пневмония, нақтыланбаған интерстициалдық өкпе ауруы, қосымша нақтыланбаған интерстициалдық пневмония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Идиопатикалық ӨАГ, тұқымқуалаушылық ӨАГ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50</w:t>
            </w:r>
          </w:p>
          <w:p>
            <w:pPr>
              <w:spacing w:after="20"/>
              <w:ind w:left="20"/>
              <w:jc w:val="both"/>
            </w:pPr>
            <w:r>
              <w:rPr>
                <w:rFonts w:ascii="Times New Roman"/>
                <w:b w:val="false"/>
                <w:i w:val="false"/>
                <w:color w:val="000000"/>
                <w:sz w:val="20"/>
              </w:rPr>
              <w:t>
K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энтерит пен колит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ағзасының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 L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бұзылулар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p>
            <w:pPr>
              <w:spacing w:after="20"/>
              <w:ind w:left="20"/>
              <w:jc w:val="both"/>
            </w:pPr>
            <w:r>
              <w:rPr>
                <w:rFonts w:ascii="Times New Roman"/>
                <w:b w:val="false"/>
                <w:i w:val="false"/>
                <w:color w:val="000000"/>
                <w:sz w:val="20"/>
              </w:rPr>
              <w:t>
Дюринг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жасушасының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Афамеланотид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D02BB02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Криопирин-ассоциирленген кезеңдік синдромы (CAPS)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 байланысқан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Аутоқабыну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басталатын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тіні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жасөаспірімдердің жүйелік бастамалы артриті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жүйесінің және қосушы тін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30.3</w:t>
            </w:r>
          </w:p>
          <w:p>
            <w:pPr>
              <w:spacing w:after="20"/>
              <w:ind w:left="20"/>
              <w:jc w:val="both"/>
            </w:pPr>
            <w:r>
              <w:rPr>
                <w:rFonts w:ascii="Times New Roman"/>
                <w:b w:val="false"/>
                <w:i w:val="false"/>
                <w:color w:val="000000"/>
                <w:sz w:val="20"/>
              </w:rPr>
              <w:t>
М 31.3</w:t>
            </w:r>
          </w:p>
          <w:p>
            <w:pPr>
              <w:spacing w:after="20"/>
              <w:ind w:left="20"/>
              <w:jc w:val="both"/>
            </w:pPr>
            <w:r>
              <w:rPr>
                <w:rFonts w:ascii="Times New Roman"/>
                <w:b w:val="false"/>
                <w:i w:val="false"/>
                <w:color w:val="000000"/>
                <w:sz w:val="20"/>
              </w:rPr>
              <w:t>
M 31.4</w:t>
            </w:r>
          </w:p>
          <w:p>
            <w:pPr>
              <w:spacing w:after="20"/>
              <w:ind w:left="20"/>
              <w:jc w:val="both"/>
            </w:pPr>
            <w:r>
              <w:rPr>
                <w:rFonts w:ascii="Times New Roman"/>
                <w:b w:val="false"/>
                <w:i w:val="false"/>
                <w:color w:val="000000"/>
                <w:sz w:val="20"/>
              </w:rPr>
              <w:t>
М 31.8</w:t>
            </w:r>
          </w:p>
          <w:p>
            <w:pPr>
              <w:spacing w:after="20"/>
              <w:ind w:left="20"/>
              <w:jc w:val="both"/>
            </w:pPr>
            <w:r>
              <w:rPr>
                <w:rFonts w:ascii="Times New Roman"/>
                <w:b w:val="false"/>
                <w:i w:val="false"/>
                <w:color w:val="000000"/>
                <w:sz w:val="20"/>
              </w:rPr>
              <w:t>
М 32.1</w:t>
            </w:r>
          </w:p>
          <w:p>
            <w:pPr>
              <w:spacing w:after="20"/>
              <w:ind w:left="20"/>
              <w:jc w:val="both"/>
            </w:pPr>
            <w:r>
              <w:rPr>
                <w:rFonts w:ascii="Times New Roman"/>
                <w:b w:val="false"/>
                <w:i w:val="false"/>
                <w:color w:val="000000"/>
                <w:sz w:val="20"/>
              </w:rPr>
              <w:t>
М 33</w:t>
            </w:r>
          </w:p>
          <w:p>
            <w:pPr>
              <w:spacing w:after="20"/>
              <w:ind w:left="20"/>
              <w:jc w:val="both"/>
            </w:pPr>
            <w:r>
              <w:rPr>
                <w:rFonts w:ascii="Times New Roman"/>
                <w:b w:val="false"/>
                <w:i w:val="false"/>
                <w:color w:val="000000"/>
                <w:sz w:val="20"/>
              </w:rPr>
              <w:t>
М 33.2</w:t>
            </w:r>
          </w:p>
          <w:p>
            <w:pPr>
              <w:spacing w:after="20"/>
              <w:ind w:left="20"/>
              <w:jc w:val="both"/>
            </w:pPr>
            <w:r>
              <w:rPr>
                <w:rFonts w:ascii="Times New Roman"/>
                <w:b w:val="false"/>
                <w:i w:val="false"/>
                <w:color w:val="000000"/>
                <w:sz w:val="20"/>
              </w:rPr>
              <w:t>
М 34.0</w:t>
            </w:r>
          </w:p>
          <w:p>
            <w:pPr>
              <w:spacing w:after="20"/>
              <w:ind w:left="20"/>
              <w:jc w:val="both"/>
            </w:pPr>
            <w:r>
              <w:rPr>
                <w:rFonts w:ascii="Times New Roman"/>
                <w:b w:val="false"/>
                <w:i w:val="false"/>
                <w:color w:val="000000"/>
                <w:sz w:val="20"/>
              </w:rPr>
              <w:t>
M 35.2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лимфонодулярлық (Кавасаки) синдромы, Вегенер гранулематозы, Аорта доғасы синдромы (Такаясу), Микроскопиялық полиангиит, Жүйелік қызыл жегі, Балалардағы дерматомиозит, Полимиозит, Үдемелі жүйелі беріштену, Бехчет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жүйесінің және қосушы тін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 (әртүрлі нысандар), CHILD синдромы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деформация және хромосомдық бұзылыстар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M01AX21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p>
            <w:pPr>
              <w:spacing w:after="20"/>
              <w:ind w:left="20"/>
              <w:jc w:val="both"/>
            </w:pPr>
            <w:r>
              <w:rPr>
                <w:rFonts w:ascii="Times New Roman"/>
                <w:b w:val="false"/>
                <w:i w:val="false"/>
                <w:color w:val="000000"/>
                <w:sz w:val="20"/>
              </w:rPr>
              <w:t>
G40.9</w:t>
            </w:r>
          </w:p>
          <w:p>
            <w:pPr>
              <w:spacing w:after="20"/>
              <w:ind w:left="20"/>
              <w:jc w:val="both"/>
            </w:pPr>
            <w:r>
              <w:rPr>
                <w:rFonts w:ascii="Times New Roman"/>
                <w:b w:val="false"/>
                <w:i w:val="false"/>
                <w:color w:val="000000"/>
                <w:sz w:val="20"/>
              </w:rPr>
              <w:t>
Q85.1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сирек кездесетін және резистентті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нәрестелік эпилептикалық энцефалопатиялар (нәрестелік құрысулар –Вест синдромы); Туберкулезді склероз (Бурневилл ауруы); Ландау-Клефнер синдромы; Балалық шақ кездегі эпилептикалық энцефалопатиясы (Леннокс-Гасто синдромы); Симптоматикалық ерте миоклониялық энцефалопатия (Отахар синдромы); Баяу ұйқыдағы мәртебесі бар эпилепсия; Ерте миоклониялық эпилепсия; Миоклоникалық абсанспен болатын ұстамалар (Тассинари синдромы); миоклоникалық-астатикалық ұстамалар (Дуз синдромы), Драв синдромдары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Адренокортикоидты гормон (АКТГ)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Тиагабин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Нейрофиброматоз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(бірінші) типті Нейрофиброматоз (феохромоцитомасы бар нейрофиброматоз, Фон Реклингхаузен ауруы, Реклингхаузен синдромы, NF-1)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G36.0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 спектральді бұзылысы бар көру жүйкесінің Нейромиелиті (NMOSD), көру жүйкесінің Нейромиелиті)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демиелинизациялық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w:t>
            </w:r>
          </w:p>
          <w:p>
            <w:pPr>
              <w:spacing w:after="20"/>
              <w:ind w:left="20"/>
              <w:jc w:val="both"/>
            </w:pPr>
            <w:r>
              <w:rPr>
                <w:rFonts w:ascii="Times New Roman"/>
                <w:b w:val="false"/>
                <w:i w:val="false"/>
                <w:color w:val="000000"/>
                <w:sz w:val="20"/>
              </w:rPr>
              <w:t>
С47.4</w:t>
            </w:r>
          </w:p>
          <w:p>
            <w:pPr>
              <w:spacing w:after="20"/>
              <w:ind w:left="20"/>
              <w:jc w:val="both"/>
            </w:pPr>
            <w:r>
              <w:rPr>
                <w:rFonts w:ascii="Times New Roman"/>
                <w:b w:val="false"/>
                <w:i w:val="false"/>
                <w:color w:val="000000"/>
                <w:sz w:val="20"/>
              </w:rPr>
              <w:t>
С47.5</w:t>
            </w:r>
          </w:p>
          <w:p>
            <w:pPr>
              <w:spacing w:after="20"/>
              <w:ind w:left="20"/>
              <w:jc w:val="both"/>
            </w:pPr>
            <w:r>
              <w:rPr>
                <w:rFonts w:ascii="Times New Roman"/>
                <w:b w:val="false"/>
                <w:i w:val="false"/>
                <w:color w:val="000000"/>
                <w:sz w:val="20"/>
              </w:rPr>
              <w:t>
С47.6</w:t>
            </w:r>
          </w:p>
          <w:p>
            <w:pPr>
              <w:spacing w:after="20"/>
              <w:ind w:left="20"/>
              <w:jc w:val="both"/>
            </w:pPr>
            <w:r>
              <w:rPr>
                <w:rFonts w:ascii="Times New Roman"/>
                <w:b w:val="false"/>
                <w:i w:val="false"/>
                <w:color w:val="000000"/>
                <w:sz w:val="20"/>
              </w:rPr>
              <w:t>
С47.8</w:t>
            </w:r>
          </w:p>
          <w:p>
            <w:pPr>
              <w:spacing w:after="20"/>
              <w:ind w:left="20"/>
              <w:jc w:val="both"/>
            </w:pPr>
            <w:r>
              <w:rPr>
                <w:rFonts w:ascii="Times New Roman"/>
                <w:b w:val="false"/>
                <w:i w:val="false"/>
                <w:color w:val="000000"/>
                <w:sz w:val="20"/>
              </w:rPr>
              <w:t>
С47.9</w:t>
            </w:r>
          </w:p>
          <w:p>
            <w:pPr>
              <w:spacing w:after="20"/>
              <w:ind w:left="20"/>
              <w:jc w:val="both"/>
            </w:pPr>
            <w:r>
              <w:rPr>
                <w:rFonts w:ascii="Times New Roman"/>
                <w:b w:val="false"/>
                <w:i w:val="false"/>
                <w:color w:val="000000"/>
                <w:sz w:val="20"/>
              </w:rPr>
              <w:t>
С48.0</w:t>
            </w:r>
          </w:p>
          <w:p>
            <w:pPr>
              <w:spacing w:after="20"/>
              <w:ind w:left="20"/>
              <w:jc w:val="both"/>
            </w:pPr>
            <w:r>
              <w:rPr>
                <w:rFonts w:ascii="Times New Roman"/>
                <w:b w:val="false"/>
                <w:i w:val="false"/>
                <w:color w:val="000000"/>
                <w:sz w:val="20"/>
              </w:rPr>
              <w:t>
С74.0</w:t>
            </w:r>
          </w:p>
          <w:p>
            <w:pPr>
              <w:spacing w:after="20"/>
              <w:ind w:left="20"/>
              <w:jc w:val="both"/>
            </w:pPr>
            <w:r>
              <w:rPr>
                <w:rFonts w:ascii="Times New Roman"/>
                <w:b w:val="false"/>
                <w:i w:val="false"/>
                <w:color w:val="000000"/>
                <w:sz w:val="20"/>
              </w:rPr>
              <w:t>
С74.1</w:t>
            </w:r>
          </w:p>
          <w:p>
            <w:pPr>
              <w:spacing w:after="20"/>
              <w:ind w:left="20"/>
              <w:jc w:val="both"/>
            </w:pPr>
            <w:r>
              <w:rPr>
                <w:rFonts w:ascii="Times New Roman"/>
                <w:b w:val="false"/>
                <w:i w:val="false"/>
                <w:color w:val="000000"/>
                <w:sz w:val="20"/>
              </w:rPr>
              <w:t>
С74.9</w:t>
            </w:r>
          </w:p>
          <w:p>
            <w:pPr>
              <w:spacing w:after="20"/>
              <w:ind w:left="20"/>
              <w:jc w:val="both"/>
            </w:pPr>
            <w:r>
              <w:rPr>
                <w:rFonts w:ascii="Times New Roman"/>
                <w:b w:val="false"/>
                <w:i w:val="false"/>
                <w:color w:val="000000"/>
                <w:sz w:val="20"/>
              </w:rPr>
              <w:t>
С76.0</w:t>
            </w:r>
          </w:p>
          <w:p>
            <w:pPr>
              <w:spacing w:after="20"/>
              <w:ind w:left="20"/>
              <w:jc w:val="both"/>
            </w:pPr>
            <w:r>
              <w:rPr>
                <w:rFonts w:ascii="Times New Roman"/>
                <w:b w:val="false"/>
                <w:i w:val="false"/>
                <w:color w:val="000000"/>
                <w:sz w:val="20"/>
              </w:rPr>
              <w:t>
С76.1</w:t>
            </w:r>
          </w:p>
          <w:p>
            <w:pPr>
              <w:spacing w:after="20"/>
              <w:ind w:left="20"/>
              <w:jc w:val="both"/>
            </w:pPr>
            <w:r>
              <w:rPr>
                <w:rFonts w:ascii="Times New Roman"/>
                <w:b w:val="false"/>
                <w:i w:val="false"/>
                <w:color w:val="000000"/>
                <w:sz w:val="20"/>
              </w:rPr>
              <w:t>
С76.2</w:t>
            </w:r>
          </w:p>
          <w:p>
            <w:pPr>
              <w:spacing w:after="20"/>
              <w:ind w:left="20"/>
              <w:jc w:val="both"/>
            </w:pPr>
            <w:r>
              <w:rPr>
                <w:rFonts w:ascii="Times New Roman"/>
                <w:b w:val="false"/>
                <w:i w:val="false"/>
                <w:color w:val="000000"/>
                <w:sz w:val="20"/>
              </w:rPr>
              <w:t>
С76.7</w:t>
            </w:r>
          </w:p>
          <w:p>
            <w:pPr>
              <w:spacing w:after="20"/>
              <w:ind w:left="20"/>
              <w:jc w:val="both"/>
            </w:pPr>
            <w:r>
              <w:rPr>
                <w:rFonts w:ascii="Times New Roman"/>
                <w:b w:val="false"/>
                <w:i w:val="false"/>
                <w:color w:val="000000"/>
                <w:sz w:val="20"/>
              </w:rPr>
              <w:t>
С76.8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Динутуксимаб</w:t>
            </w:r>
          </w:p>
          <w:p>
            <w:pPr>
              <w:spacing w:after="20"/>
              <w:ind w:left="20"/>
              <w:jc w:val="both"/>
            </w:pPr>
            <w:r>
              <w:rPr>
                <w:rFonts w:ascii="Times New Roman"/>
                <w:b w:val="false"/>
                <w:i w:val="false"/>
                <w:color w:val="000000"/>
                <w:sz w:val="20"/>
              </w:rPr>
              <w:t>
бета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АХЖ - Аурулардың халықаралық жіктемесі – 10 қарау;</w:t>
      </w:r>
    </w:p>
    <w:p>
      <w:pPr>
        <w:spacing w:after="0"/>
        <w:ind w:left="0"/>
        <w:jc w:val="both"/>
      </w:pPr>
      <w:r>
        <w:rPr>
          <w:rFonts w:ascii="Times New Roman"/>
          <w:b w:val="false"/>
          <w:i w:val="false"/>
          <w:color w:val="000000"/>
          <w:sz w:val="28"/>
        </w:rPr>
        <w:t>
      ӨАГ – өкпе артериясының гипертензиясы.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қазаны</w:t>
            </w:r>
            <w:r>
              <w:br/>
            </w:r>
            <w:r>
              <w:rPr>
                <w:rFonts w:ascii="Times New Roman"/>
                <w:b w:val="false"/>
                <w:i w:val="false"/>
                <w:color w:val="000000"/>
                <w:sz w:val="20"/>
              </w:rPr>
              <w:t xml:space="preserve">№ ҚР ДСМ - 142/2020 бұйрыққа </w:t>
            </w:r>
            <w:r>
              <w:br/>
            </w:r>
            <w:r>
              <w:rPr>
                <w:rFonts w:ascii="Times New Roman"/>
                <w:b w:val="false"/>
                <w:i w:val="false"/>
                <w:color w:val="000000"/>
                <w:sz w:val="20"/>
              </w:rPr>
              <w:t>2-қосымша</w:t>
            </w:r>
          </w:p>
        </w:tc>
      </w:tr>
    </w:tbl>
    <w:bookmarkStart w:name="z14" w:id="10"/>
    <w:p>
      <w:pPr>
        <w:spacing w:after="0"/>
        <w:ind w:left="0"/>
        <w:jc w:val="left"/>
      </w:pPr>
      <w:r>
        <w:rPr>
          <w:rFonts w:ascii="Times New Roman"/>
          <w:b/>
          <w:i w:val="false"/>
          <w:color w:val="000000"/>
        </w:rPr>
        <w:t xml:space="preserve"> Қазақстан Республикасы Денсаулық сақтау минисрлігінің күшін жойды деп танылған бұйрықтарының тізбесі</w:t>
      </w:r>
    </w:p>
    <w:bookmarkEnd w:id="10"/>
    <w:bookmarkStart w:name="z15" w:id="11"/>
    <w:p>
      <w:pPr>
        <w:spacing w:after="0"/>
        <w:ind w:left="0"/>
        <w:jc w:val="both"/>
      </w:pPr>
      <w:r>
        <w:rPr>
          <w:rFonts w:ascii="Times New Roman"/>
          <w:b w:val="false"/>
          <w:i w:val="false"/>
          <w:color w:val="000000"/>
          <w:sz w:val="28"/>
        </w:rPr>
        <w:t xml:space="preserve">
      1. "Орфандық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11511 болып тіркелген, "Әділет" ақпараттық құқықтық жүйесінде 2015 жылғы 15 шілдеде жарияланған);</w:t>
      </w:r>
    </w:p>
    <w:bookmarkEnd w:id="11"/>
    <w:bookmarkStart w:name="z16" w:id="12"/>
    <w:p>
      <w:pPr>
        <w:spacing w:after="0"/>
        <w:ind w:left="0"/>
        <w:jc w:val="both"/>
      </w:pPr>
      <w:r>
        <w:rPr>
          <w:rFonts w:ascii="Times New Roman"/>
          <w:b w:val="false"/>
          <w:i w:val="false"/>
          <w:color w:val="000000"/>
          <w:sz w:val="28"/>
        </w:rPr>
        <w:t xml:space="preserve">
      2. "Орфандық препараттардың тізбесін бекіту туралы" Қазақстан Республикасы Денсаулық сақтау және әлеуметтік даму министрінің 2015 жылғы 29 мамырдағы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11494 болып тіркелген, "Әділет" ақпараттық құқықтық жүйесінде 2015 жылғы 10 шілдеде жарияланған);</w:t>
      </w:r>
    </w:p>
    <w:bookmarkEnd w:id="12"/>
    <w:bookmarkStart w:name="z17" w:id="13"/>
    <w:p>
      <w:pPr>
        <w:spacing w:after="0"/>
        <w:ind w:left="0"/>
        <w:jc w:val="both"/>
      </w:pPr>
      <w:r>
        <w:rPr>
          <w:rFonts w:ascii="Times New Roman"/>
          <w:b w:val="false"/>
          <w:i w:val="false"/>
          <w:color w:val="000000"/>
          <w:sz w:val="28"/>
        </w:rPr>
        <w:t xml:space="preserve">
      3. "Орфандық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бұйрығына өзгеріс пен толықтырулар енгізу туралы" Қазақстан Республикасы Денсаулық сақтау министрінің 2018 жылғы 27 ақпандағы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16627 болып тіркелген, Қазақстан Республикасы нормативтік құқықтық актілерінің Эталондық бақылау банкінде 2018 жылғы 29 наурызда жарияланған);</w:t>
      </w:r>
    </w:p>
    <w:bookmarkEnd w:id="13"/>
    <w:bookmarkStart w:name="z18" w:id="14"/>
    <w:p>
      <w:pPr>
        <w:spacing w:after="0"/>
        <w:ind w:left="0"/>
        <w:jc w:val="both"/>
      </w:pPr>
      <w:r>
        <w:rPr>
          <w:rFonts w:ascii="Times New Roman"/>
          <w:b w:val="false"/>
          <w:i w:val="false"/>
          <w:color w:val="000000"/>
          <w:sz w:val="28"/>
        </w:rPr>
        <w:t xml:space="preserve">
      4. "Орфандық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бұйрығына өзгеріс пен толықтырулар енгізу туралы" Қазақстан Республикасы Денсаулық сақтау министрінің 2019 жылғы 27 тамыздағы № ҚР ДСМ-115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19304 болып тіркелген, Қазақстан Республикасы нормативтік құқықтық актілерінің Эталондық бақылау банкінде 2019 жылғы 3 қыркүйекте жарияланған);</w:t>
      </w:r>
    </w:p>
    <w:bookmarkEnd w:id="14"/>
    <w:bookmarkStart w:name="z19" w:id="15"/>
    <w:p>
      <w:pPr>
        <w:spacing w:after="0"/>
        <w:ind w:left="0"/>
        <w:jc w:val="both"/>
      </w:pPr>
      <w:r>
        <w:rPr>
          <w:rFonts w:ascii="Times New Roman"/>
          <w:b w:val="false"/>
          <w:i w:val="false"/>
          <w:color w:val="000000"/>
          <w:sz w:val="28"/>
        </w:rPr>
        <w:t xml:space="preserve">
      5. "Орфандық (сирек кездесетін) аурулардың тізбесін бекіту туралы" Қазақстан Республикасы Денсаулық сақтау және әлеуметтік даму министрінің 2015 жылғы 22 мамырдағы № 370 бұйрығына өзгеріс пен толықтырулар енгізу туралы" Қазақстан Республикасы Денсаулық сақтау министрінің 2020 жылғы 3 наурыздағы № ҚР ДСМ-13/2020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20084 болып тіркелген, Қазақстан Республикасы нормативтік құқықтық актілерінің Эталондық бақылау банкінде 2020 жылғы 3 наурызда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