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a1e7" w14:textId="4aaa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Куәландырушы орталықта электрондық цифрлық қолтаңбаның жабық кілттерін жасау, пайдалану және сақтау қағидаларын бекіту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27 қазандағы № 405/НҚ бұйрығы. Қазақстан Республикасының Әділет министрлігінде 2020 жылғы 30 қазанда № 21549 болып тіркелді.</w:t>
      </w:r>
    </w:p>
    <w:p>
      <w:pPr>
        <w:spacing w:after="0"/>
        <w:ind w:left="0"/>
        <w:jc w:val="both"/>
      </w:pPr>
      <w:bookmarkStart w:name="z1" w:id="0"/>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Куәландырушы орталықта электрондық цифрлық қолтаңбаның жабық кілттерін жасау, пайдалану және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27 қазаны </w:t>
            </w:r>
            <w:r>
              <w:br/>
            </w:r>
            <w:r>
              <w:rPr>
                <w:rFonts w:ascii="Times New Roman"/>
                <w:b w:val="false"/>
                <w:i w:val="false"/>
                <w:color w:val="000000"/>
                <w:sz w:val="20"/>
              </w:rPr>
              <w:t xml:space="preserve">№ 405/НҚ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Куәландырушы орталықта электрондық цифрлық қолтаңбаның жабық кілттерін жасау, пайдалану және сақтау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куәландырушы орталықта электрондық цифрлық қолтаңбаның жабық кілттерін жасау,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Қазақстан Республикасының Заңына сәйкес әзірленді және бұлтты сервистерде электрондық цифрлық қолтаңбаның жабық кілттерін жасау, пайдалану және сақтау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17.03.2023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мынадай ұғымдар қолданылады:</w:t>
      </w:r>
    </w:p>
    <w:p>
      <w:pPr>
        <w:spacing w:after="0"/>
        <w:ind w:left="0"/>
        <w:jc w:val="both"/>
      </w:pPr>
      <w:r>
        <w:rPr>
          <w:rFonts w:ascii="Times New Roman"/>
          <w:b w:val="false"/>
          <w:i w:val="false"/>
          <w:color w:val="000000"/>
          <w:sz w:val="28"/>
        </w:rPr>
        <w:t>
      1) биометриялық сәйкестендіру – жеке басты физиологиялық және биологиялық өзгермейтін белгілері негізінде сәйкестендіретін шаралар кешені;</w:t>
      </w:r>
    </w:p>
    <w:p>
      <w:pPr>
        <w:spacing w:after="0"/>
        <w:ind w:left="0"/>
        <w:jc w:val="both"/>
      </w:pPr>
      <w:r>
        <w:rPr>
          <w:rFonts w:ascii="Times New Roman"/>
          <w:b w:val="false"/>
          <w:i w:val="false"/>
          <w:color w:val="000000"/>
          <w:sz w:val="28"/>
        </w:rPr>
        <w:t xml:space="preserve">
      2) блокчейн – өзара байланысты деректер блоктарының, тұтастығын растаудың берілген алгоритмдері мен шифрлау құралдарының тізбектері базасында деректердің таратылған платформасындағы ақпараттың өзгермеуін қамтамасыз ететін ақпараттық-коммуникациялық технология; </w:t>
      </w:r>
    </w:p>
    <w:p>
      <w:pPr>
        <w:spacing w:after="0"/>
        <w:ind w:left="0"/>
        <w:jc w:val="both"/>
      </w:pPr>
      <w:r>
        <w:rPr>
          <w:rFonts w:ascii="Times New Roman"/>
          <w:b w:val="false"/>
          <w:i w:val="false"/>
          <w:color w:val="000000"/>
          <w:sz w:val="28"/>
        </w:rPr>
        <w:t>
      3) көп факторлы сәйкестендіру – парольдерді немесе сәйкестендіру белгілерін (цифрлық сертификаттар, токендер, смарт-карталар, бір жолғы парольдердің генераторлары және биометриялық сәйкестендіруші құралдар) құру мен енгізуді қоса алғанда, түрлі параметрлер комбинациясының көмегімен пайдаланушының шынайылығын тексеру тәсілі;</w:t>
      </w:r>
    </w:p>
    <w:p>
      <w:pPr>
        <w:spacing w:after="0"/>
        <w:ind w:left="0"/>
        <w:jc w:val="both"/>
      </w:pPr>
      <w:r>
        <w:rPr>
          <w:rFonts w:ascii="Times New Roman"/>
          <w:b w:val="false"/>
          <w:i w:val="false"/>
          <w:color w:val="000000"/>
          <w:sz w:val="28"/>
        </w:rPr>
        <w:t>
      4) куәландырушы орталық (бұдан әрі – 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p>
      <w:pPr>
        <w:spacing w:after="0"/>
        <w:ind w:left="0"/>
        <w:jc w:val="both"/>
      </w:pPr>
      <w:r>
        <w:rPr>
          <w:rFonts w:ascii="Times New Roman"/>
          <w:b w:val="false"/>
          <w:i w:val="false"/>
          <w:color w:val="000000"/>
          <w:sz w:val="28"/>
        </w:rPr>
        <w:t>
      5) тіркеу куәлігін иеленуші (бұдан әрі – иеленуші) – өз атына тіркеу куәлігі берілген, тіркеу куәлігінде көрсетілген ашық кілтке сәйкес келетін жабық кілтті құқыққа сыйымды иеленетін жеке немесе заңды тұлға;</w:t>
      </w:r>
    </w:p>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7) ЭЦҚ ашық кілті – кез келген тұлғаға қолжетімді және электрондық құжаттағы электрондық цифрлық қолтаңбаның төлнұсқалығын растауға арналған электрондық цифрлық нышандар дәйектілігі;</w:t>
      </w:r>
    </w:p>
    <w:p>
      <w:pPr>
        <w:spacing w:after="0"/>
        <w:ind w:left="0"/>
        <w:jc w:val="both"/>
      </w:pPr>
      <w:r>
        <w:rPr>
          <w:rFonts w:ascii="Times New Roman"/>
          <w:b w:val="false"/>
          <w:i w:val="false"/>
          <w:color w:val="000000"/>
          <w:sz w:val="28"/>
        </w:rPr>
        <w:t>
      8) ЭЦҚ жабық кілті –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p>
      <w:pPr>
        <w:spacing w:after="0"/>
        <w:ind w:left="0"/>
        <w:jc w:val="both"/>
      </w:pPr>
      <w:r>
        <w:rPr>
          <w:rFonts w:ascii="Times New Roman"/>
          <w:b w:val="false"/>
          <w:i w:val="false"/>
          <w:color w:val="000000"/>
          <w:sz w:val="28"/>
        </w:rPr>
        <w:t>
      9) ЭЦҚ құралдары – электрондық цифрлық қолтаңбаны жасау және оның төлнұсқалығын тексеру үшін пайдаланылатын бағдарламалық және техникалық құралдардың жиынтығы;</w:t>
      </w:r>
    </w:p>
    <w:p>
      <w:pPr>
        <w:spacing w:after="0"/>
        <w:ind w:left="0"/>
        <w:jc w:val="both"/>
      </w:pPr>
      <w:r>
        <w:rPr>
          <w:rFonts w:ascii="Times New Roman"/>
          <w:b w:val="false"/>
          <w:i w:val="false"/>
          <w:color w:val="000000"/>
          <w:sz w:val="28"/>
        </w:rPr>
        <w:t>
      10) бұлтты ЭЦҚ – куәландырушы орталықтың HSM-де электрондық цифрлық қолтаңбаның жабық кілттерін жасауға, пайдалануға, сақтауға және жоюға мүмкіндік беретін сервисі, мұнда жеке кілтке қол жеткізуді иеленуші кемінде екі аутентификация факторы арқылы қашықтан жүзеге асырады, олардың бірі биометриялық болып табылады;</w:t>
      </w:r>
    </w:p>
    <w:p>
      <w:pPr>
        <w:spacing w:after="0"/>
        <w:ind w:left="0"/>
        <w:jc w:val="both"/>
      </w:pPr>
      <w:r>
        <w:rPr>
          <w:rFonts w:ascii="Times New Roman"/>
          <w:b w:val="false"/>
          <w:i w:val="false"/>
          <w:color w:val="000000"/>
          <w:sz w:val="28"/>
        </w:rPr>
        <w:t>
      11) хэш – еркін ұзындықтағы кіріс деректерінің құрылымын белгіленген ұзындықтың бит-ке түрлендіру;</w:t>
      </w:r>
    </w:p>
    <w:p>
      <w:pPr>
        <w:spacing w:after="0"/>
        <w:ind w:left="0"/>
        <w:jc w:val="both"/>
      </w:pPr>
      <w:r>
        <w:rPr>
          <w:rFonts w:ascii="Times New Roman"/>
          <w:b w:val="false"/>
          <w:i w:val="false"/>
          <w:color w:val="000000"/>
          <w:sz w:val="28"/>
        </w:rPr>
        <w:t>
      12) (Hardware Security Module) аппараттық криптографиялық модулі (бұдан әрі – HSM) – ақпаратты шифрлауға және ЭЦҚ ашық және жабық кілттерін басқаруға арналған аппараттық криптографиялық модуль.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17.03.2023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0"/>
    <w:p>
      <w:pPr>
        <w:spacing w:after="0"/>
        <w:ind w:left="0"/>
        <w:jc w:val="left"/>
      </w:pPr>
      <w:r>
        <w:rPr>
          <w:rFonts w:ascii="Times New Roman"/>
          <w:b/>
          <w:i w:val="false"/>
          <w:color w:val="000000"/>
        </w:rPr>
        <w:t xml:space="preserve"> 2-тарау. Куәландырушы орталықта ЭЦҚ жабық кілттерін жасау тәртібі</w:t>
      </w:r>
    </w:p>
    <w:bookmarkEnd w:id="10"/>
    <w:bookmarkStart w:name="z27" w:id="11"/>
    <w:p>
      <w:pPr>
        <w:spacing w:after="0"/>
        <w:ind w:left="0"/>
        <w:jc w:val="both"/>
      </w:pPr>
      <w:r>
        <w:rPr>
          <w:rFonts w:ascii="Times New Roman"/>
          <w:b w:val="false"/>
          <w:i w:val="false"/>
          <w:color w:val="000000"/>
          <w:sz w:val="28"/>
        </w:rPr>
        <w:t>
      3. ЭЦҚ жабық кілттерін КО:</w:t>
      </w:r>
    </w:p>
    <w:bookmarkEnd w:id="11"/>
    <w:bookmarkStart w:name="z28" w:id="12"/>
    <w:p>
      <w:pPr>
        <w:spacing w:after="0"/>
        <w:ind w:left="0"/>
        <w:jc w:val="both"/>
      </w:pPr>
      <w:r>
        <w:rPr>
          <w:rFonts w:ascii="Times New Roman"/>
          <w:b w:val="false"/>
          <w:i w:val="false"/>
          <w:color w:val="000000"/>
          <w:sz w:val="28"/>
        </w:rPr>
        <w:t>
      1) иеленушіге берілетін иеленушінің негізгі ақпаратын тасымалдаушыда;</w:t>
      </w:r>
    </w:p>
    <w:bookmarkEnd w:id="12"/>
    <w:bookmarkStart w:name="z29" w:id="13"/>
    <w:p>
      <w:pPr>
        <w:spacing w:after="0"/>
        <w:ind w:left="0"/>
        <w:jc w:val="both"/>
      </w:pPr>
      <w:r>
        <w:rPr>
          <w:rFonts w:ascii="Times New Roman"/>
          <w:b w:val="false"/>
          <w:i w:val="false"/>
          <w:color w:val="000000"/>
          <w:sz w:val="28"/>
        </w:rPr>
        <w:t>
      2) бұлтты ЭЦҚ-да жасайды.</w:t>
      </w:r>
    </w:p>
    <w:bookmarkEnd w:id="13"/>
    <w:bookmarkStart w:name="z30" w:id="14"/>
    <w:p>
      <w:pPr>
        <w:spacing w:after="0"/>
        <w:ind w:left="0"/>
        <w:jc w:val="both"/>
      </w:pPr>
      <w:r>
        <w:rPr>
          <w:rFonts w:ascii="Times New Roman"/>
          <w:b w:val="false"/>
          <w:i w:val="false"/>
          <w:color w:val="000000"/>
          <w:sz w:val="28"/>
        </w:rPr>
        <w:t>
      4. Бұлтты ЭЦҚ жабық кілттері қатаң түрде HSM ішінде жасалады. Жеке кілт HSM-ден ашық түрде алынбайды.</w:t>
      </w:r>
    </w:p>
    <w:bookmarkEnd w:id="14"/>
    <w:p>
      <w:pPr>
        <w:spacing w:after="0"/>
        <w:ind w:left="0"/>
        <w:jc w:val="both"/>
      </w:pPr>
      <w:r>
        <w:rPr>
          <w:rFonts w:ascii="Times New Roman"/>
          <w:b w:val="false"/>
          <w:i w:val="false"/>
          <w:color w:val="000000"/>
          <w:sz w:val="28"/>
        </w:rPr>
        <w:t>
      Бұл ретте HSM:</w:t>
      </w:r>
    </w:p>
    <w:bookmarkStart w:name="z31" w:id="15"/>
    <w:p>
      <w:pPr>
        <w:spacing w:after="0"/>
        <w:ind w:left="0"/>
        <w:jc w:val="both"/>
      </w:pPr>
      <w:r>
        <w:rPr>
          <w:rFonts w:ascii="Times New Roman"/>
          <w:b w:val="false"/>
          <w:i w:val="false"/>
          <w:color w:val="000000"/>
          <w:sz w:val="28"/>
        </w:rPr>
        <w:t>
      1) ҚР СТ 1073-2007 "Ақпаратты криптографиялық қорғау құралдары. Жалпы техникалық талаптар" стандартында белгіленген талаптарға сәйкес үшінші қауіпсіздік деңгейінен төмен емес;</w:t>
      </w:r>
    </w:p>
    <w:bookmarkEnd w:id="15"/>
    <w:bookmarkStart w:name="z32" w:id="16"/>
    <w:p>
      <w:pPr>
        <w:spacing w:after="0"/>
        <w:ind w:left="0"/>
        <w:jc w:val="both"/>
      </w:pPr>
      <w:r>
        <w:rPr>
          <w:rFonts w:ascii="Times New Roman"/>
          <w:b w:val="false"/>
          <w:i w:val="false"/>
          <w:color w:val="000000"/>
          <w:sz w:val="28"/>
        </w:rPr>
        <w:t>
      2) корпусты ашу фактісін анықтау және HSM үшін қажетті негізгі ақпаратты кейіннен жою үшін датчиктерді пайдаланатын периметрдің физикалық қорғанысымен (корпусты ашудан қорғау) жобаланған;</w:t>
      </w:r>
    </w:p>
    <w:bookmarkEnd w:id="16"/>
    <w:bookmarkStart w:name="z33" w:id="17"/>
    <w:p>
      <w:pPr>
        <w:spacing w:after="0"/>
        <w:ind w:left="0"/>
        <w:jc w:val="both"/>
      </w:pPr>
      <w:r>
        <w:rPr>
          <w:rFonts w:ascii="Times New Roman"/>
          <w:b w:val="false"/>
          <w:i w:val="false"/>
          <w:color w:val="000000"/>
          <w:sz w:val="28"/>
        </w:rPr>
        <w:t>
      3) Қазақстан Республикасының қолданыстағы заңнама талаптарына сәйкес ақпаратты және техникалық құралдарды қорғау тиімділігінің нормасын және олардың қорғалуын бағалау әдістемесіне сәйкес болады.</w:t>
      </w:r>
    </w:p>
    <w:bookmarkEnd w:id="17"/>
    <w:bookmarkStart w:name="z34" w:id="18"/>
    <w:p>
      <w:pPr>
        <w:spacing w:after="0"/>
        <w:ind w:left="0"/>
        <w:jc w:val="both"/>
      </w:pPr>
      <w:r>
        <w:rPr>
          <w:rFonts w:ascii="Times New Roman"/>
          <w:b w:val="false"/>
          <w:i w:val="false"/>
          <w:color w:val="000000"/>
          <w:sz w:val="28"/>
        </w:rPr>
        <w:t>
      5. HSM-мен негізгі ақпаратты мұрағаттау тек шифрланған түрде және шифрлау кілтін N-ден М схемасы бойынша бөлу арқылы ғана мүмкін болады (5-тің 3-інен кем емес). N-ден М схемасы бойынша шифрлау кілттері қорғалған токендерде сақталады, Мемлекеттік КО арналған N төкен ақпараттандыру саласындағы уәкілетті органда, ұлттық қауіпсіздік органдарында және КО-да тұрақты сақталады. Қорғалған таңбалауыштар HSM резервтік мұрағатын қалпына келтіру кезінде ғана қолданылады.</w:t>
      </w:r>
    </w:p>
    <w:bookmarkEnd w:id="18"/>
    <w:bookmarkStart w:name="z35" w:id="19"/>
    <w:p>
      <w:pPr>
        <w:spacing w:after="0"/>
        <w:ind w:left="0"/>
        <w:jc w:val="both"/>
      </w:pPr>
      <w:r>
        <w:rPr>
          <w:rFonts w:ascii="Times New Roman"/>
          <w:b w:val="false"/>
          <w:i w:val="false"/>
          <w:color w:val="000000"/>
          <w:sz w:val="28"/>
        </w:rPr>
        <w:t>
      6. ЭЦҚ жабық кілтін жасау және ЭЦҚ тіркеу куәлігін шығару алдында иеленуші дербес деректерді жинауға және өңдеуге келісім береді.</w:t>
      </w:r>
    </w:p>
    <w:bookmarkEnd w:id="19"/>
    <w:p>
      <w:pPr>
        <w:spacing w:after="0"/>
        <w:ind w:left="0"/>
        <w:jc w:val="both"/>
      </w:pPr>
      <w:r>
        <w:rPr>
          <w:rFonts w:ascii="Times New Roman"/>
          <w:b w:val="false"/>
          <w:i w:val="false"/>
          <w:color w:val="000000"/>
          <w:sz w:val="28"/>
        </w:rPr>
        <w:t>
      Иеленуші:</w:t>
      </w:r>
    </w:p>
    <w:bookmarkStart w:name="z36" w:id="20"/>
    <w:p>
      <w:pPr>
        <w:spacing w:after="0"/>
        <w:ind w:left="0"/>
        <w:jc w:val="both"/>
      </w:pPr>
      <w:r>
        <w:rPr>
          <w:rFonts w:ascii="Times New Roman"/>
          <w:b w:val="false"/>
          <w:i w:val="false"/>
          <w:color w:val="000000"/>
          <w:sz w:val="28"/>
        </w:rPr>
        <w:t>
      1) қашықтан, көп факторлы сәйкестендіруді қолдана отырып, әдістердің бірі биометриялық сәйкестендіру болып табылады;</w:t>
      </w:r>
    </w:p>
    <w:bookmarkEnd w:id="20"/>
    <w:bookmarkStart w:name="z37" w:id="21"/>
    <w:p>
      <w:pPr>
        <w:spacing w:after="0"/>
        <w:ind w:left="0"/>
        <w:jc w:val="both"/>
      </w:pPr>
      <w:r>
        <w:rPr>
          <w:rFonts w:ascii="Times New Roman"/>
          <w:b w:val="false"/>
          <w:i w:val="false"/>
          <w:color w:val="000000"/>
          <w:sz w:val="28"/>
        </w:rPr>
        <w:t>
      2) КО тіркеу орталығында биометриялық сәйкестендіруді пайдалана отырып, қажет болған жағдайда биометриялық деректерді жинау рәсімінен сәйкестендіруден өтеді, КО биометриялық деректерді сақтауды қамтамасыз етеді.</w:t>
      </w:r>
    </w:p>
    <w:bookmarkEnd w:id="21"/>
    <w:p>
      <w:pPr>
        <w:spacing w:after="0"/>
        <w:ind w:left="0"/>
        <w:jc w:val="both"/>
      </w:pPr>
      <w:r>
        <w:rPr>
          <w:rFonts w:ascii="Times New Roman"/>
          <w:b w:val="false"/>
          <w:i w:val="false"/>
          <w:color w:val="000000"/>
          <w:sz w:val="28"/>
        </w:rPr>
        <w:t>
      Иеленуші бұлтты ЭЦҚ-да ЭЦҚ жабық кілтін сақтауға келісім береді.</w:t>
      </w:r>
    </w:p>
    <w:bookmarkStart w:name="z38" w:id="22"/>
    <w:p>
      <w:pPr>
        <w:spacing w:after="0"/>
        <w:ind w:left="0"/>
        <w:jc w:val="both"/>
      </w:pPr>
      <w:r>
        <w:rPr>
          <w:rFonts w:ascii="Times New Roman"/>
          <w:b w:val="false"/>
          <w:i w:val="false"/>
          <w:color w:val="000000"/>
          <w:sz w:val="28"/>
        </w:rPr>
        <w:t>
      7. ЭЦҚ жабық кілті жасалғаннан кейін МЕМСТ 28147-89 стандартын қолдана отырып, HSM-де шифрланған түрде сақталады. Құпия мәндер ретінде КО-да сақталмайтын иеленуші анықтаған пароль қатысады. КО иеленушінің жеке кілтінің құпия сөзін тексеру үшін HSM-де пароль хэшін сақтайды.</w:t>
      </w:r>
    </w:p>
    <w:bookmarkEnd w:id="22"/>
    <w:bookmarkStart w:name="z39" w:id="23"/>
    <w:p>
      <w:pPr>
        <w:spacing w:after="0"/>
        <w:ind w:left="0"/>
        <w:jc w:val="left"/>
      </w:pPr>
      <w:r>
        <w:rPr>
          <w:rFonts w:ascii="Times New Roman"/>
          <w:b/>
          <w:i w:val="false"/>
          <w:color w:val="000000"/>
        </w:rPr>
        <w:t xml:space="preserve"> 3-тарау. Куәландырушы орталықта сақталатын ЭЦҚ жабық кілттерін пайдалану тәртібі</w:t>
      </w:r>
    </w:p>
    <w:bookmarkEnd w:id="23"/>
    <w:bookmarkStart w:name="z40" w:id="24"/>
    <w:p>
      <w:pPr>
        <w:spacing w:after="0"/>
        <w:ind w:left="0"/>
        <w:jc w:val="both"/>
      </w:pPr>
      <w:r>
        <w:rPr>
          <w:rFonts w:ascii="Times New Roman"/>
          <w:b w:val="false"/>
          <w:i w:val="false"/>
          <w:color w:val="000000"/>
          <w:sz w:val="28"/>
        </w:rPr>
        <w:t>
      8. КО-да сақталатын ЭЦҚ жабық кілттерін пайдалану кезінде иеленуші көп факторлы сәйкестендіруден өтеді, әдістердің бірі биометриялық сәйкестендіру болып табылады.</w:t>
      </w:r>
    </w:p>
    <w:bookmarkEnd w:id="24"/>
    <w:bookmarkStart w:name="z41" w:id="25"/>
    <w:p>
      <w:pPr>
        <w:spacing w:after="0"/>
        <w:ind w:left="0"/>
        <w:jc w:val="both"/>
      </w:pPr>
      <w:r>
        <w:rPr>
          <w:rFonts w:ascii="Times New Roman"/>
          <w:b w:val="false"/>
          <w:i w:val="false"/>
          <w:color w:val="000000"/>
          <w:sz w:val="28"/>
        </w:rPr>
        <w:t>
      9. Электрондық құжаттарға қол қою HSM жадында қол қойылған файлды немесе оның хэшін HSM-ге беру арқылы жүзеге асырылады.</w:t>
      </w:r>
    </w:p>
    <w:bookmarkEnd w:id="25"/>
    <w:bookmarkStart w:name="z42" w:id="26"/>
    <w:p>
      <w:pPr>
        <w:spacing w:after="0"/>
        <w:ind w:left="0"/>
        <w:jc w:val="both"/>
      </w:pPr>
      <w:r>
        <w:rPr>
          <w:rFonts w:ascii="Times New Roman"/>
          <w:b w:val="false"/>
          <w:i w:val="false"/>
          <w:color w:val="000000"/>
          <w:sz w:val="28"/>
        </w:rPr>
        <w:t>
      10. Иеленушіні КО-да сәйкестендіру кезінде иеленушіден парольді (браузер, мобильді қосымша) HSM-ге беру шифрланған түрде жүргізіледі, бұл ретте парольді шифрлау иеленушінің жағында, дербес компьютерде немесе смартфонда жүргізіледі.</w:t>
      </w:r>
    </w:p>
    <w:bookmarkEnd w:id="26"/>
    <w:bookmarkStart w:name="z43" w:id="27"/>
    <w:p>
      <w:pPr>
        <w:spacing w:after="0"/>
        <w:ind w:left="0"/>
        <w:jc w:val="both"/>
      </w:pPr>
      <w:r>
        <w:rPr>
          <w:rFonts w:ascii="Times New Roman"/>
          <w:b w:val="false"/>
          <w:i w:val="false"/>
          <w:color w:val="000000"/>
          <w:sz w:val="28"/>
        </w:rPr>
        <w:t>
      11. Бұлтты ЭЦҚ-да ЭЦҚ жабық кілтінен парольді қалпына келтіру жүзеге асырылмайды.</w:t>
      </w:r>
    </w:p>
    <w:bookmarkEnd w:id="27"/>
    <w:bookmarkStart w:name="z44" w:id="28"/>
    <w:p>
      <w:pPr>
        <w:spacing w:after="0"/>
        <w:ind w:left="0"/>
        <w:jc w:val="both"/>
      </w:pPr>
      <w:r>
        <w:rPr>
          <w:rFonts w:ascii="Times New Roman"/>
          <w:b w:val="false"/>
          <w:i w:val="false"/>
          <w:color w:val="000000"/>
          <w:sz w:val="28"/>
        </w:rPr>
        <w:t>
      12. КО иеленушіге бұлтты ЭЦҚ жабық кілтін, КО жеке кабинеті арқылы қол қойылған барлық электрондық құжаттар туралы ақпаратқа қол жеткізуді ұсынады. Барлық қол қойылған электрондық құжаттар туралы ақпаратты сақтау мерзімі иеленушінің тіркеу куәлігінің қолданылу мерзімі өткеннен кейін кемінде бір жылды құрайды.</w:t>
      </w:r>
    </w:p>
    <w:bookmarkEnd w:id="28"/>
    <w:bookmarkStart w:name="z45" w:id="29"/>
    <w:p>
      <w:pPr>
        <w:spacing w:after="0"/>
        <w:ind w:left="0"/>
        <w:jc w:val="both"/>
      </w:pPr>
      <w:r>
        <w:rPr>
          <w:rFonts w:ascii="Times New Roman"/>
          <w:b w:val="false"/>
          <w:i w:val="false"/>
          <w:color w:val="000000"/>
          <w:sz w:val="28"/>
        </w:rPr>
        <w:t>
      13. Тіркеу куәліктері иеленушілердің электрондық қолының жабық кілттерінің компрометациялау фактісі анықталған жағдайда, КО осы факті және келтірілген залалды барынша азайту бойынша қабылданған шаралар туралы ақпаратты өзінің интернет-ресурсында дереу жариялайды.</w:t>
      </w:r>
    </w:p>
    <w:bookmarkEnd w:id="29"/>
    <w:bookmarkStart w:name="z46" w:id="30"/>
    <w:p>
      <w:pPr>
        <w:spacing w:after="0"/>
        <w:ind w:left="0"/>
        <w:jc w:val="both"/>
      </w:pPr>
      <w:r>
        <w:rPr>
          <w:rFonts w:ascii="Times New Roman"/>
          <w:b w:val="false"/>
          <w:i w:val="false"/>
          <w:color w:val="000000"/>
          <w:sz w:val="28"/>
        </w:rPr>
        <w:t>
      14. КО келесі оқиғалардың хаттамалануын қамтамасыз етеді:</w:t>
      </w:r>
    </w:p>
    <w:bookmarkEnd w:id="30"/>
    <w:bookmarkStart w:name="z47" w:id="31"/>
    <w:p>
      <w:pPr>
        <w:spacing w:after="0"/>
        <w:ind w:left="0"/>
        <w:jc w:val="both"/>
      </w:pPr>
      <w:r>
        <w:rPr>
          <w:rFonts w:ascii="Times New Roman"/>
          <w:b w:val="false"/>
          <w:i w:val="false"/>
          <w:color w:val="000000"/>
          <w:sz w:val="28"/>
        </w:rPr>
        <w:t>
      1) бұлтты ЭЦҚ-мен ЭЦҚ жабық кілтін қалыптастыру;</w:t>
      </w:r>
    </w:p>
    <w:bookmarkEnd w:id="31"/>
    <w:bookmarkStart w:name="z48" w:id="32"/>
    <w:p>
      <w:pPr>
        <w:spacing w:after="0"/>
        <w:ind w:left="0"/>
        <w:jc w:val="both"/>
      </w:pPr>
      <w:r>
        <w:rPr>
          <w:rFonts w:ascii="Times New Roman"/>
          <w:b w:val="false"/>
          <w:i w:val="false"/>
          <w:color w:val="000000"/>
          <w:sz w:val="28"/>
        </w:rPr>
        <w:t>
      2) бұлтты ЭЦҚ-мен ЭЦҚ жабық кілтін пайдалану;</w:t>
      </w:r>
    </w:p>
    <w:bookmarkEnd w:id="32"/>
    <w:bookmarkStart w:name="z49" w:id="33"/>
    <w:p>
      <w:pPr>
        <w:spacing w:after="0"/>
        <w:ind w:left="0"/>
        <w:jc w:val="both"/>
      </w:pPr>
      <w:r>
        <w:rPr>
          <w:rFonts w:ascii="Times New Roman"/>
          <w:b w:val="false"/>
          <w:i w:val="false"/>
          <w:color w:val="000000"/>
          <w:sz w:val="28"/>
        </w:rPr>
        <w:t>
      3) бұлтты ЭЦҚ-мен ЭЦҚ жабық кілтін жою (өшіру).</w:t>
      </w:r>
    </w:p>
    <w:bookmarkEnd w:id="33"/>
    <w:p>
      <w:pPr>
        <w:spacing w:after="0"/>
        <w:ind w:left="0"/>
        <w:jc w:val="both"/>
      </w:pPr>
      <w:r>
        <w:rPr>
          <w:rFonts w:ascii="Times New Roman"/>
          <w:b w:val="false"/>
          <w:i w:val="false"/>
          <w:color w:val="000000"/>
          <w:sz w:val="28"/>
        </w:rPr>
        <w:t>
      Жұмыс хаттамаларын сақтау мерзімі тіркеу куәлігінің қолданылу мерзімі өткен күннен бастап бір жылды құрайды.</w:t>
      </w:r>
    </w:p>
    <w:bookmarkStart w:name="z50" w:id="34"/>
    <w:p>
      <w:pPr>
        <w:spacing w:after="0"/>
        <w:ind w:left="0"/>
        <w:jc w:val="both"/>
      </w:pPr>
      <w:r>
        <w:rPr>
          <w:rFonts w:ascii="Times New Roman"/>
          <w:b w:val="false"/>
          <w:i w:val="false"/>
          <w:color w:val="000000"/>
          <w:sz w:val="28"/>
        </w:rPr>
        <w:t>
      Іс-әрекеттерді хаттамалау кезінде мынадай ақпарат жазылады:</w:t>
      </w:r>
    </w:p>
    <w:bookmarkEnd w:id="34"/>
    <w:bookmarkStart w:name="z51" w:id="35"/>
    <w:p>
      <w:pPr>
        <w:spacing w:after="0"/>
        <w:ind w:left="0"/>
        <w:jc w:val="both"/>
      </w:pPr>
      <w:r>
        <w:rPr>
          <w:rFonts w:ascii="Times New Roman"/>
          <w:b w:val="false"/>
          <w:i w:val="false"/>
          <w:color w:val="000000"/>
          <w:sz w:val="28"/>
        </w:rPr>
        <w:t>
      1) иеленуші идентификаторы;</w:t>
      </w:r>
    </w:p>
    <w:bookmarkEnd w:id="35"/>
    <w:bookmarkStart w:name="z52" w:id="36"/>
    <w:p>
      <w:pPr>
        <w:spacing w:after="0"/>
        <w:ind w:left="0"/>
        <w:jc w:val="both"/>
      </w:pPr>
      <w:r>
        <w:rPr>
          <w:rFonts w:ascii="Times New Roman"/>
          <w:b w:val="false"/>
          <w:i w:val="false"/>
          <w:color w:val="000000"/>
          <w:sz w:val="28"/>
        </w:rPr>
        <w:t>
      2) күні, уақыты;</w:t>
      </w:r>
    </w:p>
    <w:bookmarkEnd w:id="36"/>
    <w:bookmarkStart w:name="z53" w:id="37"/>
    <w:p>
      <w:pPr>
        <w:spacing w:after="0"/>
        <w:ind w:left="0"/>
        <w:jc w:val="both"/>
      </w:pPr>
      <w:r>
        <w:rPr>
          <w:rFonts w:ascii="Times New Roman"/>
          <w:b w:val="false"/>
          <w:i w:val="false"/>
          <w:color w:val="000000"/>
          <w:sz w:val="28"/>
        </w:rPr>
        <w:t>
      3) оқиға.</w:t>
      </w:r>
    </w:p>
    <w:bookmarkEnd w:id="37"/>
    <w:bookmarkStart w:name="z54" w:id="38"/>
    <w:p>
      <w:pPr>
        <w:spacing w:after="0"/>
        <w:ind w:left="0"/>
        <w:jc w:val="both"/>
      </w:pPr>
      <w:r>
        <w:rPr>
          <w:rFonts w:ascii="Times New Roman"/>
          <w:b w:val="false"/>
          <w:i w:val="false"/>
          <w:color w:val="000000"/>
          <w:sz w:val="28"/>
        </w:rPr>
        <w:t>
      15. Оқиғалар хаттамалары күн сайын хэшке айналады және хэш деректері блокчейн оқиғалар тізбегінде сақталады. Бұл үшін қолданылатын блок Интернетте қол жетімді болады.</w:t>
      </w:r>
    </w:p>
    <w:bookmarkEnd w:id="38"/>
    <w:bookmarkStart w:name="z55" w:id="39"/>
    <w:p>
      <w:pPr>
        <w:spacing w:after="0"/>
        <w:ind w:left="0"/>
        <w:jc w:val="left"/>
      </w:pPr>
      <w:r>
        <w:rPr>
          <w:rFonts w:ascii="Times New Roman"/>
          <w:b/>
          <w:i w:val="false"/>
          <w:color w:val="000000"/>
        </w:rPr>
        <w:t xml:space="preserve"> 4-тарау. ЭЦҚ жабық кілттерін куәландырушы орталықта сақтау тәртібі</w:t>
      </w:r>
    </w:p>
    <w:bookmarkEnd w:id="39"/>
    <w:bookmarkStart w:name="z56" w:id="40"/>
    <w:p>
      <w:pPr>
        <w:spacing w:after="0"/>
        <w:ind w:left="0"/>
        <w:jc w:val="both"/>
      </w:pPr>
      <w:r>
        <w:rPr>
          <w:rFonts w:ascii="Times New Roman"/>
          <w:b w:val="false"/>
          <w:i w:val="false"/>
          <w:color w:val="000000"/>
          <w:sz w:val="28"/>
        </w:rPr>
        <w:t>
      16. КО КО-дағы ЭЦҚ жабық кілттерін қорғауды қамтамасыз етеді.</w:t>
      </w:r>
    </w:p>
    <w:bookmarkEnd w:id="40"/>
    <w:bookmarkStart w:name="z57" w:id="41"/>
    <w:p>
      <w:pPr>
        <w:spacing w:after="0"/>
        <w:ind w:left="0"/>
        <w:jc w:val="both"/>
      </w:pPr>
      <w:r>
        <w:rPr>
          <w:rFonts w:ascii="Times New Roman"/>
          <w:b w:val="false"/>
          <w:i w:val="false"/>
          <w:color w:val="000000"/>
          <w:sz w:val="28"/>
        </w:rPr>
        <w:t xml:space="preserve">
      17. ЭЦҚ жабық кілттерін бұлтты ЭЦҚ-да сақтау мерзімі Заңның </w:t>
      </w:r>
      <w:r>
        <w:rPr>
          <w:rFonts w:ascii="Times New Roman"/>
          <w:b w:val="false"/>
          <w:i w:val="false"/>
          <w:color w:val="000000"/>
          <w:sz w:val="28"/>
        </w:rPr>
        <w:t>21-бабы</w:t>
      </w:r>
      <w:r>
        <w:rPr>
          <w:rFonts w:ascii="Times New Roman"/>
          <w:b w:val="false"/>
          <w:i w:val="false"/>
          <w:color w:val="000000"/>
          <w:sz w:val="28"/>
        </w:rPr>
        <w:t xml:space="preserve"> 1-тармағының 2-1) тармақшасына сәйкес КО бекітетін КО тіркеу куәліктерін қолдану қағидаларында сипатталады.</w:t>
      </w:r>
    </w:p>
    <w:bookmarkEnd w:id="41"/>
    <w:bookmarkStart w:name="z58" w:id="42"/>
    <w:p>
      <w:pPr>
        <w:spacing w:after="0"/>
        <w:ind w:left="0"/>
        <w:jc w:val="both"/>
      </w:pPr>
      <w:r>
        <w:rPr>
          <w:rFonts w:ascii="Times New Roman"/>
          <w:b w:val="false"/>
          <w:i w:val="false"/>
          <w:color w:val="000000"/>
          <w:sz w:val="28"/>
        </w:rPr>
        <w:t xml:space="preserve">
      18.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талаптардың (бұдан әрі – БТ) 92-тармағына сәйкес бұлтты ЭЦҚ бағдарламалық-аппараттық қамтамасыз ету Қазақстан Республикасының аумағында орналастырылады.</w:t>
      </w:r>
    </w:p>
    <w:bookmarkEnd w:id="42"/>
    <w:bookmarkStart w:name="z59" w:id="43"/>
    <w:p>
      <w:pPr>
        <w:spacing w:after="0"/>
        <w:ind w:left="0"/>
        <w:jc w:val="both"/>
      </w:pPr>
      <w:r>
        <w:rPr>
          <w:rFonts w:ascii="Times New Roman"/>
          <w:b w:val="false"/>
          <w:i w:val="false"/>
          <w:color w:val="000000"/>
          <w:sz w:val="28"/>
        </w:rPr>
        <w:t>
      19. Жабық кілттерді қорғау БТ-да сипатталған талаптарға сәйкес ұйымдастырушылық, бағдарламалық және техникалық іс-шаралар кешенімен қамтамасыз 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КО көп факторлы аутентификациясыз бұлтты ЭЦҚ ЭЦҚ жабық кілттерін пайдалана отырып, электрондық құжаттарға қол қою мүмкіндігінің болмауын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17.03.2023 </w:t>
      </w:r>
      <w:r>
        <w:rPr>
          <w:rFonts w:ascii="Times New Roman"/>
          <w:b w:val="false"/>
          <w:i w:val="false"/>
          <w:color w:val="000000"/>
          <w:sz w:val="28"/>
        </w:rPr>
        <w:t>№ 95/НҚ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xml:space="preserve">
      21. Осы Қағидалардың талаптарын орындау Қазақстан Республикасы Цифрлық даму, инновациялар және аэроғарыш өнеркәсібі министрінің 2020 жылғы 1 маусымдағы № 224/НҚ </w:t>
      </w:r>
      <w:r>
        <w:rPr>
          <w:rFonts w:ascii="Times New Roman"/>
          <w:b w:val="false"/>
          <w:i w:val="false"/>
          <w:color w:val="000000"/>
          <w:sz w:val="28"/>
        </w:rPr>
        <w:t>бұйрығымен</w:t>
      </w:r>
      <w:r>
        <w:rPr>
          <w:rFonts w:ascii="Times New Roman"/>
          <w:b w:val="false"/>
          <w:i w:val="false"/>
          <w:color w:val="000000"/>
          <w:sz w:val="28"/>
        </w:rPr>
        <w:t xml:space="preserve"> бекітілген Куәландырушы орталықтарды аккредиттеуді жүргізу қағидаларына (Нормативтік құқықтық актілерді мемлекеттік тіркеу тізілімінде № 20815 болып тіркелген) сәйкес КО аккредиттеу кезінде қажетті шарт болып табылады.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