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c03" w14:textId="08e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 ұйымы жарғылық капиталының ең төменгі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27 қазандағы № 129 қаулысы. Қазақстан Республикасының Әділет министрлігінде 2020 жылғы 5 қарашада № 21584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"Төлемдер және төлем жүйелері туралы" Қазақстан Республикасының Заңы (бұдан әрі – Төлемдер және төлем жүйелері туралы заң) 15-1-бабының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Банкі Басқармасының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Төлемдер және төлем жүйелері туралы заңның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7), 8) және 9) тармақшаларында көрсетілген төлем қызметі түрлерінің бірін көрсету үшін төлем ұйымының жарғылық капиталының ең төменгі мөлшері 150 000 000 (бір жүз елу миллион) теңге мөлшерінде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Банкі Басқармасының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 ұйымы Төлемдер және төлем жүйелері туралы заңның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7), 8) және 9) тармақшаларында көрсетілген төлем қызметінің бірден артық түрін көрсетуі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ақшалай нысанда қалыптастырылатын оның жарғылық капиталы көрсетілетін төлем қызметінің әрбір қосымша түріне 50 000 000 (елу миллион) теңгеге ұлғайтылады.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ұйымының жарғылық капиталы оның қызметіне байланысты мақсаттарға ғана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Жарғылық капиталға байланысты барлық операциялар "Бухгалтерлік есеп пен қаржылық есептілік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бухгалтерлік есепте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құжаттар: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банктік шотқа төлем ұйымының жарғылық капиталына жарна ретінде ақша есепке алынғанын растайтын екінші деңгейдегі банктің құжаты (оның ішінде клиенттің банктік шоттары бойынша ақша қозғалысы туралы үзінді-көшірме) және қаржылық есептілік;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бухгалтерлік баланс, ақшалай қаражаттың қозғалысы туралы есеп, капиталдағы өзгерістер туралы есеп жарғылық капиталдың ең төменгі мөлшері төленгенін растайтын құжат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Ұлттық Банкі Басқармасының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жүйелері департаменті Қазақстан Республикасының заңнамасында белгіленген тәртіппен: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және коммуникациялар департаменті –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2021 жылғы 1 шілдеден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