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b0d2" w14:textId="f6fb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Қазақстан Республикасы Ішкі істер министрінің 2016 жылғы 29 наурыздағы № 313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3 қарашадағы № 763 бұйрығы. Қазақстан Республикасының Әділет министрлігінде 2020 жылғы 5 қарашада № 21587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Қазақстан Республикасы Ішкі істер министрінің 2016 жылғы 29 наурыздағы № 313 (Нормативтік құқықтық актілерді мемлекеттік тіркеу тізілімінде № 13694 болып тіркелген, "Әділет" ақпараттық-құқықтық жүйесінде 2016 жылғы 31 мамырда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Ішкі істер органдарының азаматтық және қызметтік қару айналымы саласындағы бақылау жөніндегі бөліністерінің қызметін ұйымдастыру туралы </w:t>
      </w:r>
      <w:r>
        <w:rPr>
          <w:rFonts w:ascii="Times New Roman"/>
          <w:b w:val="false"/>
          <w:i w:val="false"/>
          <w:color w:val="000000"/>
          <w:sz w:val="28"/>
        </w:rPr>
        <w:t>нұсқаулыққа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8-тармақ </w:t>
      </w:r>
      <w:r>
        <w:rPr>
          <w:rFonts w:ascii="Times New Roman"/>
          <w:b w:val="false"/>
          <w:i w:val="false"/>
          <w:color w:val="000000"/>
          <w:sz w:val="28"/>
        </w:rPr>
        <w:t>1) тармақшаның</w:t>
      </w:r>
      <w:r>
        <w:rPr>
          <w:rFonts w:ascii="Times New Roman"/>
          <w:b w:val="false"/>
          <w:i w:val="false"/>
          <w:color w:val="000000"/>
          <w:sz w:val="28"/>
        </w:rPr>
        <w:t xml:space="preserve"> бірінші абзацы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"1) мемлекеттік қызметті Қазақстан Республикасы Цифрлық даму, инновациялар және аэроғарыш өнеркәсібі министрлігінің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 тізіліміне сәйкес көрсетеді (Нормативтік құқықтық актілерді мемлекеттік тіркеу тізілімінде № 19982 болып тіркелген)."; </w:t>
      </w:r>
    </w:p>
    <w:bookmarkEnd w:id="4"/>
    <w:bookmarkStart w:name="z6" w:id="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"2) "Қазақстан Республикасының ішкі істер органдары туралы" 2014 жылғы 23 сәуірдегі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26-тармақшасына сәйкес азаматтық және қызметтік қару мен оның патрондарының криминалистік талаптарға сәйкес келуіне қорытындыны және есірткі,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рұқсаттар беруді қоспағанда қорытындылар мен рұқсаттар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xml:space="preserve">
      "9. Азаматтық және қызметтік қару мен оның патрондарының айналымы саласындағы лицензиялар мен рұқсаттарды беру үшін ұсынылған құжаттарды тексеру барысында АҚҚАБ қызметкері жеке тұлғаларды және заңды тұлғалардың қару мен оның патрондарына рұқсаты бар қызметкерлерін ІІО-ның криминалдық полиция, ақпараттандыру және байланыс (бұдан әрі – АжБ) бөліністерінің, Қазақстан Республикасы Ұлттық қауіпсіздік комитетінің (бұдан әрі – ҰҚК) және Бас прокуратурасы Қылмыстық статистика және арнайы есепке алу жөніндегі комитетінің (бұдан әрі – ҚСжАЕК) экстремизмге, терроризмге немесе ұйымдасқан қылмысқа қарсы күрес желісі бойынша есептері бойынша соттылығының және Заңның </w:t>
      </w:r>
      <w:r>
        <w:rPr>
          <w:rFonts w:ascii="Times New Roman"/>
          <w:b w:val="false"/>
          <w:i w:val="false"/>
          <w:color w:val="000000"/>
          <w:sz w:val="28"/>
        </w:rPr>
        <w:t>19-бабына</w:t>
      </w:r>
      <w:r>
        <w:rPr>
          <w:rFonts w:ascii="Times New Roman"/>
          <w:b w:val="false"/>
          <w:i w:val="false"/>
          <w:color w:val="000000"/>
          <w:sz w:val="28"/>
        </w:rPr>
        <w:t xml:space="preserve"> сәйкес Қазақстан Республикасының ӘҚБК баптары бойынша әкімшілік құқық бұзушылықтарының бар-жоғы, сондай-ақ ақталмайтын негіздер бойынша қылмыстық жауапкершіліктен босатылуы мәніне тексереді.";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"12. АҚҚАБ қызметкеріне ІІО ғимаратында телефон байланысымен жабдықталған жеке қызметтік үй-жай бөлінеді.";</w:t>
      </w:r>
    </w:p>
    <w:bookmarkEnd w:id="8"/>
    <w:bookmarkStart w:name="z12" w:id="9"/>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xml:space="preserve">
      "2) қару алуға құқығы бар субъектілер ұсынған (мемлекеттік органдар, қызметтік қару ұстау мен сақтау құқығы берілген лауазымды адамдар, ерекше жарғылық міндетке ие заңды тұлғалар, аң шаруашылығы ұйымдары, спорттық ұйымдар және білім беру ұйымдары) қару және оның патрондарының қолда бар және қажетті саны туралы мәліметтерді тексереді, олар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қағидаларына 3-қосымшаға сәйкес қызметтік ойық, тегіс ұңғылы, ұңғысыз атыс, жарақат салатын әсері бар патрондармен ату мүмкіндігі бар газды және электрлік қаруға екі данада ресімделеді;"; </w:t>
      </w:r>
    </w:p>
    <w:bookmarkEnd w:id="10"/>
    <w:bookmarkStart w:name="z14" w:id="11"/>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 </w:t>
      </w:r>
    </w:p>
    <w:bookmarkEnd w:id="11"/>
    <w:bookmarkStart w:name="z15" w:id="12"/>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 алып тасталсын;</w:t>
      </w:r>
    </w:p>
    <w:bookmarkEnd w:id="12"/>
    <w:bookmarkStart w:name="z16" w:id="13"/>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4) тармақшасының</w:t>
      </w:r>
      <w:r>
        <w:rPr>
          <w:rFonts w:ascii="Times New Roman"/>
          <w:b w:val="false"/>
          <w:i w:val="false"/>
          <w:color w:val="000000"/>
          <w:sz w:val="28"/>
        </w:rPr>
        <w:t xml:space="preserve"> төртінші абзацы мынадай редакцияда жазылсын:</w:t>
      </w:r>
    </w:p>
    <w:bookmarkEnd w:id="13"/>
    <w:bookmarkStart w:name="z17" w:id="14"/>
    <w:p>
      <w:pPr>
        <w:spacing w:after="0"/>
        <w:ind w:left="0"/>
        <w:jc w:val="both"/>
      </w:pPr>
      <w:r>
        <w:rPr>
          <w:rFonts w:ascii="Times New Roman"/>
          <w:b w:val="false"/>
          <w:i w:val="false"/>
          <w:color w:val="000000"/>
          <w:sz w:val="28"/>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2018 жылғы 19 ақпандағы № 133 бұйрығына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азаматтық пиротехникалық заттар мен олар қолданылып жасалған бұйымдарды (мәдени-көпшілік іс-шараларды өткізу кезіндегі отшашулар, фейрверктер) сатып алуға (Нормативтік құқықтық актілерді мемлекеттік тіркеу тізілімінде № 16733 болып тіркелген) (бұдан әрі - № 133 бұйрық);</w:t>
      </w:r>
    </w:p>
    <w:bookmarkEnd w:id="14"/>
    <w:p>
      <w:pPr>
        <w:spacing w:after="0"/>
        <w:ind w:left="0"/>
        <w:jc w:val="both"/>
      </w:pPr>
      <w:r>
        <w:rPr>
          <w:rFonts w:ascii="Times New Roman"/>
          <w:b w:val="false"/>
          <w:i w:val="false"/>
          <w:color w:val="000000"/>
          <w:sz w:val="28"/>
        </w:rPr>
        <w:t xml:space="preserve">
      № 133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азаматтық пиротехникалық заттар мен олар қолданылып жасалған бұйымдарды (мәдени-көпшілік іс-шараларды өткізу кезіндегі отшашулар, фейрверктер) сақтауға;";</w:t>
      </w:r>
    </w:p>
    <w:bookmarkStart w:name="z18" w:id="15"/>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5"/>
    <w:bookmarkStart w:name="z19" w:id="16"/>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6"/>
    <w:bookmarkStart w:name="z20" w:id="17"/>
    <w:p>
      <w:pPr>
        <w:spacing w:after="0"/>
        <w:ind w:left="0"/>
        <w:jc w:val="both"/>
      </w:pPr>
      <w:r>
        <w:rPr>
          <w:rFonts w:ascii="Times New Roman"/>
          <w:b w:val="false"/>
          <w:i w:val="false"/>
          <w:color w:val="000000"/>
          <w:sz w:val="28"/>
        </w:rPr>
        <w:t>
      30-тармақтың 2) тармақшасы алып тасталсын;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xml:space="preserve">
      "31. Осы Нұсқаулықтың 8-тармағының 2) тармақшасында көрсетілген рұқсаттарды АҚҚАБ қызметкерлері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 Қазақстан Республикасы Ішкі істер министрінің 2020 жылғы 27 наурыздағы № 254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20184 болып тіркелген) талаптарына сәйкес "электрондық үкімет" порталы арқылы электрондық форматта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36-тармақтың</w:t>
      </w:r>
      <w:r>
        <w:rPr>
          <w:rFonts w:ascii="Times New Roman"/>
          <w:b w:val="false"/>
          <w:i w:val="false"/>
          <w:color w:val="000000"/>
          <w:sz w:val="28"/>
        </w:rPr>
        <w:t xml:space="preserve"> екінші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"44. Қару иесінің тұрғылықты мекенжайын анықтау мүмкін болмаған жағдайда АҚҚАБ қызметкері ІІО АжБ-ға Қазақстан Республикасы ІІМ БДБ "Криминалдық қару" есебіне "иесінің мекенжайын анықтау" санаты бойынша есепке қою үшін қаруға толтырылған ақпараттық-іздестіру картасын ілеспе хатпен жолдайды. ІІМ БДБ "Криминалдық қару" есебіне қойғаннан кейін қару "Тіркелген қару" есебінен алынады.";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"49. Бақылау функцияларын орындау шеңберінде АжБ қызметкері бір жылдан аса ІІО-да қайта тіркеуден өтпеген азаматтық және қызметтік қаруды анықтау мақсатында ІІМ БДБ "Тіркелген қару" есебіне талдау жүргізуді жүзеге асырады. Анықталған қару туралы ақпарат ІІО бастығына ұсынылады.";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-ші және </w:t>
      </w:r>
      <w:r>
        <w:rPr>
          <w:rFonts w:ascii="Times New Roman"/>
          <w:b w:val="false"/>
          <w:i w:val="false"/>
          <w:color w:val="000000"/>
          <w:sz w:val="28"/>
        </w:rPr>
        <w:t>51-тармақтары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"53. ЕЛ МДБ АЖ арқылы берілген лицензиялар, қорытындылар, рұқсаттар А-4 форматтағы қағазға басылып, жеке және заңды тұлғалардың бақылау істеріне тігіледі.";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"75. Қаруды жойғаннан немесе басқа адамға қайта тіркегеннен кейін азаматтық қару иелерінің жеке істерін құрамына АҚҚАБ қызметкері, оның тікелей басшысы және ІІО іс жүргізуші кіретін комиссия жояды.</w:t>
      </w:r>
    </w:p>
    <w:bookmarkEnd w:id="22"/>
    <w:p>
      <w:pPr>
        <w:spacing w:after="0"/>
        <w:ind w:left="0"/>
        <w:jc w:val="both"/>
      </w:pPr>
      <w:r>
        <w:rPr>
          <w:rFonts w:ascii="Times New Roman"/>
          <w:b w:val="false"/>
          <w:i w:val="false"/>
          <w:color w:val="000000"/>
          <w:sz w:val="28"/>
        </w:rPr>
        <w:t>
      Жойылуға жататын жеке істер осы Нұсқаулыққа 19-қосымшаға сәйкес нысан бойынша жасалған азаматтық қару иелерінің жеке істерін жою актісіне енгізіледі.</w:t>
      </w:r>
    </w:p>
    <w:p>
      <w:pPr>
        <w:spacing w:after="0"/>
        <w:ind w:left="0"/>
        <w:jc w:val="both"/>
      </w:pPr>
      <w:r>
        <w:rPr>
          <w:rFonts w:ascii="Times New Roman"/>
          <w:b w:val="false"/>
          <w:i w:val="false"/>
          <w:color w:val="000000"/>
          <w:sz w:val="28"/>
        </w:rPr>
        <w:t>
      ПД, Көліктегі ПД, ҚАІІБ, ЖІІБ ӘПБ АҚҚАБ бөліністерінің қызметкерлері көші-қон, криминалдық полиция, жергілікті полиция қызметі, АжБ бөліністерімен өзара іс-қимыл жасаса отырып, ІІМ БДБ "Криминалдық қару" есебінде "мекенжайы анықталмаған" санаты бойынша есепте тұрған азаматтық қару иелерін іздеу бойынша іс-шараларды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"77. ІІМ БДБ "Тіркелген қару" есебіне бекітілген ІІД АжБ қызметкерлері ұдайы негізде азаматтық қару иелерін бастамашыл сәйкестіктер шеңберінде қолданыстағы ІІМ БДБ криминалдық есептері, ҚСжАЕК, сондай-ақ "ЖТ" МДБ (қайтыс болу мәніне) бойынша тексереді.";</w:t>
      </w:r>
    </w:p>
    <w:bookmarkEnd w:id="23"/>
    <w:bookmarkStart w:name="z37" w:id="24"/>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3-қосымшасы</w:t>
      </w:r>
      <w:r>
        <w:rPr>
          <w:rFonts w:ascii="Times New Roman"/>
          <w:b w:val="false"/>
          <w:i w:val="false"/>
          <w:color w:val="000000"/>
          <w:sz w:val="28"/>
        </w:rPr>
        <w:t xml:space="preserve"> алып тасталсын;</w:t>
      </w:r>
    </w:p>
    <w:bookmarkEnd w:id="24"/>
    <w:bookmarkStart w:name="z38" w:id="25"/>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алып тасталсын.</w:t>
      </w:r>
    </w:p>
    <w:bookmarkEnd w:id="25"/>
    <w:bookmarkStart w:name="z39" w:id="26"/>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26"/>
    <w:bookmarkStart w:name="z40" w:id="2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7"/>
    <w:bookmarkStart w:name="z41" w:id="2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28"/>
    <w:bookmarkStart w:name="z42" w:id="29"/>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1) және 2)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 </w:t>
      </w:r>
    </w:p>
    <w:bookmarkEnd w:id="29"/>
    <w:bookmarkStart w:name="z43" w:id="3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0"/>
    <w:bookmarkStart w:name="z44" w:id="3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