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e8b5" w14:textId="affe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Референс-зертханалардың тізбесін, олардың қызметі туралы ережелерді, сондай-ақ оларды таңдауға қойылатын өлшемшарттар мен талаптарды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3 желтоқсандағы № ҚР ДСМ-232/2020 бұйрығы. Қазақстан Республикасының Әділет министрлігінде 2020 жылғы 5 желтоқсанда № 21729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ЗҰАИ-ның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 130-бабының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референс-зертханалардың тізбесі;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референс-зертханалардың қызметі туралы ережелер;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референс-зертханаларды таңдауға қойылатын өлшемшарттар мен талаптар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интернет-ресурсына орналастыруды;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мәліметті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вице-министрі А. Ғиниятқа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жиырма бір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ДСМ-232/2020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Референс-зертханалардың тізбесі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Денсаулық сақтау министрлігінің "Трансфузиология ғылыми-өндірістік орталығы" шаруашылық жүргізу құқығындағы республикалық мемлекеттік кәсіпорны жанындағы Қан қызметінің республикалық референс-зертханасы;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"Қазақстан Республикасының Ұлттық фтизиопульмонология ғылыми орталығы" шаруашылық жүргізу құқығындағы республикалық мемлекеттік кәсіпорны жанындағы туберкулез бойынша ұлттық референс-зертханасы;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"Қазақ дерматология және инфекциялық аурулар ғылыми орталығы" шаруашылық жүргізу құқығындағы республикалық мемлекеттік кәсіпорны жанындағы АИТВ инфекциясын бақылау жөніндегі референс-зертхана;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Денсаулық сақтау министрлігінің "Қоғамдық денсаулық сақтау ұлттық орталығы" шаруашылық жүргізу құқығындағы республикалық мемлекеттік кәсіпорнының "Санитариялық-эпидемиологиялық сараптама және мониторинг ғылыми-практикалық орталығы" филиалы жанындағы вирустық инфекцияларды бақылау жөніндегі референс-зертхана;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Денсаулық сақтау министрлігінің "Қоғамдық денсаулық сақтау ұлттық орталығы" шаруашылық жүргізу құқығындағы республикалық мемлекеттік кәсіпорнының "Санитариялық-эпидемиологиялық сараптама және мониторинг ғылыми-практикалық орталығы" филиалы жанындағы аса қауіпті инфекцияларды бақылау жөніндегі референс-зертхана;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Денсаулық сақтау министрлігінің "Қоғамдық денсаулық сақтау ұлттық орталығы" шаруашылық жүргізу құқығындағы республикалық мемлекеттік кәсіпорнының "Санитариялық-эпидемиологиялық сараптама және мониторинг ғылыми-практикалық орталығы" филиалы жанындағы бактериялық инфекцияларды және микробқа қарсы төзімділікті бақылау жөніндегі референс-зертхана;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Денсаулық сақтау министрлігінің "Қоғамдық денсаулық сақтау ұлттық орталығы" шаруашылық жүргізу құқығындағы республикалық мемлекеттік кәсіпорнының "Санитариялық-эпидемиологиялық сараптама және мониторинг ғылыми-практикалық орталығы" филиалы жанындағы паразиттік инфекцияларды бақылау жөніндегі референс-зертхана.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Референс-зертханалардың қызметі туралы ережелер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референс-зертханалардың қызметі туралы ережелер "Халық денсаулығы және денсаулық сақтау жүйесі туралы" Қазақстан Республикасының 2020 жылғы 7 шілдедегі Кодексі (бұдан әрі – Кодекс) 130-бабының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референс-зертханалардың қызметі туралы ережелерді айқындайды.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Референс-зертханалар меншік нысанына қарамастан, Қазақстан Республикасында зертханалық диагностиканың сапасын арттыру мақсатында зертханалық зерттеулердің сапасын бағалау жүйесін жетілдіруге және зертханалық зерттеулердің талдамалық шынайлығын, сенімділігі мен ақпараттылығына қол жеткізуге бағытталған іс-шаралар кешенін іске асыру жолымен, сондай-ақ зертханалық диагностиканың белгілі бір саласында диагностикалық күрделі және сараптамалық жағдайларда зерттеулер жүргізу үшін денсаулық сақтау ұйымдарында құрылады.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Стандартта мынадай ұғымдар пайдаланылады: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валидация – объективті куәліктерді ұсыну арқылы нақты болжамды пайдалануға немесе қолдануға арналған талаптардың орындалғанын растау;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референс-зертхана (бұдан әрі – РЗ) – сапаны сыртқы бағалау жүйесін ендіру жөніндегі ұйымдастыру-әдістемелік жұмысты және зертханалық диагностиканың белгілі бір саласында диагностикалық тұрғыдан күрделі және сараптамалық жағдайларда зерттеулер жүргізуді жүзеге асыратын денсаулық сақтау ұйымының зертханасы.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РЗ қызметін үйлестіруді денсаулық сақтау саласындағы уәкілетті орган жүзеге асырады.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РЗ өз қызметінде Қазақстан Республикасының Конституциясын, "Халық денсаулығы және денсаулық сақтау жүйесі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>, осы ережені, Қазақстан Республикасы Денсаулық сақтау министрлігінің бұйрықтарын, Дүниежүзілік денсаулық сақтау ұйымының ұсынымдарын және Қазақстан Республикасының халықаралық және ұлттық стандарттарының талаптарын басшылыққа алады.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Референс-зертханалардың міндеттері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РЗ міндеттері: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кәсіптік қызметтің жекелеген салаларында медициналық ғылым мен практиканың соңғы жетістіктерін пайдалана отырып, тиімді зертханалық диагностиканы жүзеге асыру жөніндегі қызметті ғылыми және ұйымдастырушылық-әдістемелік қамтамасыз ету;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қызметті үйлестіру және зертханалық зерттеулердің сапасын сыртқы бақылау бағдарламаларына қатысатын денсаулық сақтау ұйымдарына консультация беру;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зертханалық диагностиканың даулы және күрделі жағдайлары туындаған кезде сараптамалық зертханалық зерттеулерді жүзеге асыру (төрелік зерттеулер) және арнайы зерттеулер жүргізу кезінде консультациялық-әдістемелік көмек көрсету;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зертханалық зерттеулерді стандарттау, ақпаратты өңдеу және талдау тәсілдерін біріздендіру;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зерттеулердің стандартты зертханалық әдістерін енгізу;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сәйкестікке қатысты жаңа немесе бар әдістемелерді және (немесе) өлшемдерді зерттеуге қатысу;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зертханалық зерттеулер саласында сапаны сыртқы бағалау жүйесін дамыту;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адам ағзасы мен жүйелерінің қызметін бағалау үшін елішілік референстік зертханалық көрсеткіштерді пысықтау үшін жекелеген мезюрандтардың (шама) зертханалық диагностикасы және мониторингінің жай-күйін талдау;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зертханалық зерттеулердің сапасын басқару жүйелерін бағалау және жетілдірумен айналысатын халықаралық ұйымдармен интеграциялау;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зертхана мамандарын даярлау бойынша білім беру қызметін ұйымдастыру болып табылады.</w:t>
      </w:r>
    </w:p>
    <w:bookmarkEnd w:id="39"/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тарау. Референс-зертханалардың функциялары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РЗ функциялары: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референттік шамаларды өлшеу мәселелері бойынша ұйымдастырушылық, әдістемелік нұсқаулықтар мен нұсқаулар, ақпараттық хаттар мен талдамалық анықтамалардың жобаларын дайындау;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зертханалардың зертханалық диагностиканы жүргізу және зертханалық зерттеулердің сапасын сыртқы бағалауды ұйымдастыру жөніндегі қызметін регламенттейтін нормативтік және әдістемелік құжаттарын әзірлеуге қатысу;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зерттеулердің бағыттары (адамның иммун тапшылығы вирусы, туберкулез, вирустық гепатиттер, жалпы клиникалық және басқалар) бойынша референстік өлшемдердің әдістемелерін пайдаланылатын орындарда енгізу;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қолда бар және(немесе) қолжетімді болған кезде ұлттық немесе халықаралық бастапқы стандарттық үлгілерге дейін қадағаланатын зертханалық зерттеулерді алу;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қасиеттері Халықаралық бірліктер жүйесі БЖ бірліктерінде көрсетілетін стандарты үлгілер бойынша референстік өлшемдер әдістерінің немесе стандарты үлгілердің болжамды ең жоғары деңгейіне дейін қадағалануын пайдаланылатын орындарда белгілеу;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референстік материалдар бойынша, оның ішінде сәйкестендіру үшін пайдаланылатын белгісіздікті белгілей отырып, мәндерді белгілеу;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зертханаларға қызметін технологиялық процестерді стандарттау, өндірушілер ұсынатын бақылау үлгілеріне бағалау жүргізу, сапаға зертханаішілік бақылау жүргізудің дұрыстығын және жүргізілетін зертханалық зерттеулердің шынайлығын бағалау жолымен консультативтік-әдістемелік және ұйымдастырушылық көмек көрсету;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РЗ құзыреттілігі саласындағы зертханалық зерттеулердің сапасын сыртқы бағалау бағдарламаларын жүргізу;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зертханалық зерттеулердің, диагностикалық алгоритмдердің қазіргі заманғы әдістері мен стандарттарын зерделеу, әзірлеу және енгізу, сапаны сыртқы бағалаудың нәтижелерін әдістерді, жабдықтарды, технологияларды пысықтау үшін пайдалану;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РЗ құзыреттілігі саласындағы түрлі талдаулар, ауруларды зертханалық диагностикалау үшін пайдаланылатын әртүрлі талдамалық әдістерді валидациялау және оларды салыстыруға бағалау жүргізу;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зертханалық диагностиканы жетілдіру бойынша ғылыми-практикалық конференцияларды, семинарларды, тренингілерді және басқа да іс-шараларды дайындауға және өткізуге қатысу;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зертханалық зерттеулердің сапасын сыртқы бағалаудың халықаралық бағдарламаларына, денсаулық сақтау саласындағы халықаралық жобаларға және ғылыми бағдарламаларға қатысу;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пайдаланушылар арасында таратылғаннан кейін, елге әкелінген диагностикалық тест-жүйелердің қауіпсіздігіне, сапасына және тиімділігіне бағалау жүргізу (тіркеуден кейінгі зерттеулер) болып табылады.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Референс-зертханаларды таңдауға қойылатын өлшемшарттар мен талаптар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Референс-зертханаларды таңдау үшін өлшемшарттар мен талаптар: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қызмет сапасын және кәсіби құзыреттілігін растайтын ұлттық және (немесе) халықаралық стандарттар сәйкестігіне аккредиттеу аттестатының бар болуы;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ұлттық және (немесе) халықаралық стандарттар сәйкестігі аттестатымен немесе аккредиттеу сертификатымен расталған енгізілген және әрекет ететін сапа менеджменті жүйесінің бар болуы;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дамыған ақпараттық инфрақұрылымы және салыстырылып-тексерілген, валидацияланған медициналық зертханалық жабдығы бар қазіргі заманғы материалдық-техникалық жабдықтаудың бар болуы;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зертхана персоналын тұрақты негізде жүргізілетін оқыту бойынша білім беру бағдарламаларын әзірлеу және іске асыру бойынша тәжірибенің бар болуы;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референс-зертханасының бейіні бойынша білім беру қызметін акредиттеу сертификатының бар болуы;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"Интернет" ақпараттық-телекоммуникациялық желісінде қызметі туралы ақпараты бар әрекет ететін сайттың бар болуы;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зертхана қызметіне арналған мемлекеттік лицензияның бар болуы;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сапаны халықаралық сыртқы бағалау бағдарламаларына жыл сайын қатысу;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зертханалық зерттеулердің верификацияланған әдістерін, материалдардын пайдалану;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сапаны бағалауға арналған бақылауыштарды үздіксіз сатып алу болып табылады.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