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cc4e" w14:textId="a68c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"Ұжымдық шарттардың саны туралы мәліметтер" әкімшілік деректерді жинауға арналған нысанын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2020 жылғы 4 желтоқсандағы № 477 бұйрығы. Қазақстан Республикасының Әділет министрлігінде 2020 жылғы 9 желтоқсанда № 21739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статистика туралы" 2010 жылғы 19 наурыздағы Қазақстан Республикасы Заңының 16-бабының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2017 жылғы 18 ақпандағы № 81 қаулысымен бекітілген Қазақстан Республикасының Еңбек және халықты әлеуметтік қорғау министрлігі туралы ереженің 16-тармағының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"Ұжымдық шарттардың саны туралы мәліметтер" әкімшілік деректерді жинауға арналған нысаны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"Әкімшілік деректерді жинауға арналған нысанды бекіту туралы" Қазақстан Республикасы Денсаулық сақтау және әлеуметтік даму министрінің 2016 жылғы 28 маусымдағы № 567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Әділет министрлігінде 2016 жылы 3 тамызда № 14063 болып тіркелген, "Әділет" ақпараттық-құқықтық жүйесінде 2016 жылғы 19 тамызда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Еңбек және халықты әлеуметтік қорғау министрлігінің Еңбек, әлеуметтік қорғау және көші-қон комитеті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Еңбек және халықты әлеуметтік қорғау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 беруді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Еңбек және халықты әлеуметтік қорғау бірінші вице-министрі А.Ә. Сарбасовқа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алғашқы ресми жарияланған күнінен кейін күнтізбелік он күн өткен соң қолданысқа енгізіледі.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 және халықты әлеуметтік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Стратегиялық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және реформалар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477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Республикасы Еңбек және халықты әлеуметтік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деректердің нысаны интернет-ресурсына www.gov.kz/memleket/entіtіes/enbek?lang=kz орналастырылған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"Ұжымдық шарттардың саны туралы мәліметтер"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ҚР Еңбек және халықты әлеуметтік қорғау министрінің 30.09.2024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Индексі: 1-ҰШ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Кезеңділік: ай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Есепті кезең: 20__жылғы _________ ай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Облыстардың, республикалық маңызы бар қалалардың, астананың еңбек жөніндегі уәкілетті мемлекеттік органның аумақтық бөлімшелері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Ұсыну мерзімі: ай сайын, есепті кезеңнен кейінгі айдың 3-күніне қарай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Өңірдің атауы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ӘАОЖ (Әкімшілік-аумақтық объектілер жіктеуіші) бойынша орналасқан жерінің коды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істеп тұрған кәсіпорындардың саны, бірлік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кәсіпорындар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ұжымдық шарттардың ____ жылдың басындағы саны, бірлік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ұжымдық шарттар бойынша атқарылған жұмыс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ұжымдық шарттардың жиыны, бірлік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қолданылу мерзімі өткен ұжымдық шарттардың саны, бірлік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жаңа мерзімге қайта жасалғандар, бірлік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жасалған ұжымдық шарттардың саны, бірлік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кәсіпорындарда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Ұйымның атауы______________Ұйымның мекенжайы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Ұйымның телефоны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Ұйымның электрондық почта мекенжайы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Орындаушы ________________________________      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 және әкесінің аты (бар болса)       қолы, телефон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 немесе оның міндетін атқарушы адам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болса)            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Мөрдің 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(жеке кәсіпкерлік субъектілері болып табылатын тұлғалардан қоспағанда)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"Ұжымдық шарттардың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мәліметтер"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деректерді жинауға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"Ұжымдық шарттардың саны туралы мәліметтер" әкімшілік деректерін жинауға арналған нысанын толтыру жөніндегі түсіндірме 1-бөлім.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"Ұжымдық шарттардың саны туралы мәліметтер" әкімшілік деректерді жинауға арналған нысанын толтыру жөніндегі түсіндірме Қазақстан Республикасы Үкіметінің 2017 жылғы 18 ақпандағы № 81 қаулысымен бекітілген Қазақстан Республикасының Еңбек және халықты әлеуметтік қорғау министрлігі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16-тармағының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әзірленіп, "Ұжымдық шарттардың саны туралы мәліметтер" әкімшілік деректерді жинауға арналған нысанын (бұдан әрі – Нысан) толтыру тәртібін нақтылайды.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Нысанды жүргізудің негізгі міндеті Қазақстан Республикасы еңбек заңнамасының сақталуына мониторингті жүзеге асыру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Облыстардың, республикалық маңызы бар қалалардың, астананың жергілікті атқарушы органдарының еңбек инспекциясы жөніндегі басқармалары толтырылған Нысанды Қазақстан Республикасының Еңбек және және халықты әлеуметтік қорғау министрлігіне ай сайын, есепті кезеңнен кейінгі айдың 3-күніне қарай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Көрсеткіштер ағымдағы есепті кезеңнің бірінші күніне нақты деректер бойынша қалыптастырылады.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Нысанға бірінші басшы, ал ол болмаған жағдайда – оның міндетін атқарушы адам қол қояды.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2-бөлім. Нысанды толтыру жөніндегі түсіндірме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Нысанның А-бағанында өңірлердің атауы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Нысанның Б-бағанында ӘАОЖ (Әкімшілік-аумақтық объектілер жіктеуіші) бойынша орналасқан жерінің коды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Нысанның 1-бағанында жұмыс істеп тұрған кәсіпорындардың жалпы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Нысанның 2-бағанында жұмыс істеп тұрған мемлекеттік кәсіпорындардың жалпы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Нысанның 3, 4, 5-бағандарында сәйкесінше жұмыс істеп тұрған ірі, орта және кіші мемлекеттік кәсіпорындардың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Нысанның 6-бағанында жұмыс істеп тұрған жеке кәсіпорындардың жалпы саны көрсетіледі.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Нысанның 7, 8, 9-бағандарында сәйкесінше жұмыс істеп тұрған ірі, орта және кіші жеке кәсіпорындардың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Нысанның 10-бағанында ұжымдық шарттардың ағымдағы жылдың басындағы жалпы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Нысанның 11-бағанында ұжымдық шарттардың ағымдағы жылдың басындағы жалпы санынан қолданылу мерзімі өткен ұжымдық шарттардың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Нысанның 12-бағанында ұжымдық шарттардың ағымдағы жылдың басындағы жалпы санынан қолданылу мерзімі өткен ұжымдық шарттардың ішінен жаңа мерзімге қайта жасалған ұжымдық шарттардың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Нысанның 13-бағанында жаңадан жасалған ұжымдық шарттардың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Нысанның 14-бағанында қолданыстағы ұжымдық шарттардың жиыны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Нысанның 15-бағанында жұмыс істеп тұрған кәсіпорындардың жалпы санынан қолданыстағы ұжымдық шарттардың пайызы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Нысанның 16-бағанында ұжымдық шарттары бар мемлекеттік кәсіпорындардың жалпы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Нысанның 17-бағанында ұжымдық шарттары бар ірі мемлекеттік кәсіпорындардың жалпы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Нысанның 18-бағанында жұмыс істеп тұрған ірі мемлекеттік кәсіпорындардың санынан ұжымдық шарттары бар ірі мемлекеттік кәсіпорындарды қамту пайызы көрсетіледі (3-баған).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Нысанның 19-бағанында ұжымдық шарттары бар орта мемлекеттік кәсіпорындардың жалпы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Нысанның 20-бағанында жұмыс істеп тұрған орта мемлекеттік кәсіпорындардың санынан ұжымдық шарттары бар орта мемлекеттік кәсіпорындарды қамту пайызы көрсетіледі (4-баған).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Нысанның 21-бағанында ұжымдық шарттары бар шағын мемлекеттік кәсіпорындардың жалпы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Нысанның 22-бағанында жұмыс істеп тұрған шағын мемлекеттік кәсіпорындардың санынан ұжымдық шарттары бар шағын мемлекеттік кәсіпорындарды қамту пайызы көрсетіледі (5-баған).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Нысанның 23-бағанында ұжымдық шарттары бар жеке кәсіпорындардың жалпы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Нысанның 24-бағанында ұжымдық шарттары бар ірі жеке кәсіпорындардың жалпы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Нысанның 25-бағанында жұмыс істеп тұрған ірі жеке кәсіпорындардың санынан ұжымдық шарттары бар ірі жеке кәсіпорындарды қамту пайызы көрсетіледі (7-баған).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Нысанның 26-бағанында ұжымдық шарттары бар орта жеке кәсіпорындардың жалпы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Нысанның 27-бағанында жұмыс істеп тұрған орта жеке кәсіпорындардың санынан ұжымдық шарттары бар орта жеке кәсіпорындарды қамту пайызы көрсетіледі (8-баған).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Нысанның 28-бағанында ұжымдық шарттары бар шағын жеке кәсіпорындардың жалпы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Нысанның 29-бағанында жұмыс істеп тұрған шағын жеке кәсіпорындардың санынан ұжымдық шарттары бар шағын жеке кәсіпорындарды қамту пайызы көрсетіледі (9-баған).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