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c28b" w14:textId="860c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қарашадағы № 475 және Қазақстан Республикасы Ұлттық экономика министрінің 2020 жылғы 3 желтоқсандағы № 88 бірлескен бұйрығы. Қазақстан Республикасының Әділет министрлігінде 2020 жылғы 9 желтоқсанда № 21740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2016 жылғы 17 ақпанда "Әділет" Қазақстан Республикасы нормативтік құқықтық актілер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еңбек заңнамасы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"Алдыңғы тексерулердің және субъектіге бару арқылы профилактикалық бақылау нәтижелері" (ауырлық дәрежесі төменде көрсетілген талаптарды сақтамаған жағдайда белгіленеді)" бөлімінде:</w:t>
      </w:r>
    </w:p>
    <w:bookmarkEnd w:id="3"/>
    <w:bookmarkStart w:name="z6" w:id="4"/>
    <w:p>
      <w:pPr>
        <w:spacing w:after="0"/>
        <w:ind w:left="0"/>
        <w:jc w:val="both"/>
      </w:pPr>
      <w:r>
        <w:rPr>
          <w:rFonts w:ascii="Times New Roman"/>
          <w:b w:val="false"/>
          <w:i w:val="false"/>
          <w:color w:val="000000"/>
          <w:sz w:val="28"/>
        </w:rPr>
        <w:t>
      мынадай мазмұндағы реттік нөмірі 28-жолмен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5388"/>
        <w:gridCol w:w="1538"/>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пайдалануға тыйымды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мынадай мазмұндағы реттік нөмірі 28-жолмен толықтырылсын: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921"/>
        <w:gridCol w:w="1355"/>
        <w:gridCol w:w="1355"/>
        <w:gridCol w:w="1878"/>
        <w:gridCol w:w="1878"/>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қолдануға тыйымды сақтау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етіледі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7"/>
    <w:p>
      <w:pPr>
        <w:spacing w:after="0"/>
        <w:ind w:left="0"/>
        <w:jc w:val="both"/>
      </w:pPr>
      <w:r>
        <w:rPr>
          <w:rFonts w:ascii="Times New Roman"/>
          <w:b w:val="false"/>
          <w:i w:val="false"/>
          <w:color w:val="000000"/>
          <w:sz w:val="28"/>
        </w:rPr>
        <w:t xml:space="preserve">
      көрсетілген бірлескен бұйрықпен бекітілген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мынадай мазмұндағы реттік нөмірі 27-жолмен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921"/>
        <w:gridCol w:w="1355"/>
        <w:gridCol w:w="1355"/>
        <w:gridCol w:w="1878"/>
        <w:gridCol w:w="1878"/>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қолдануға тыйымды сақтау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2"/>
    <w:bookmarkStart w:name="z15" w:id="1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3"/>
    <w:bookmarkStart w:name="z16" w:id="1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