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369e" w14:textId="6503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Шегілетін темекі бұйымдары, оның ішінде қыздырылатын темекісі, қорқорға арналған темекісі бар бұйымдар, қорқор қоспасы, темекіні қыздыруға арналған жүйе, тұтынудың электрондық жүйелері мен оларға арналған сұйықтықтар құрамындағы никотин мен шайырлы заттардың рұқсат етілетін шекті деңгейлерін анықтау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ДСМ-277/2020 бұйрығы. Қазақстан Республикасының Әділет министрлігінде 2020 жылғы 20 желтоқсанда № 21815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жүйесi туралы" Қазақстан Республикасының 2020 жылғы 7 шілдедегi Кодексiнің 110-бабының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шегілетін темекі бұйымдарындағы никотин мен шайырлы заттар құрамының рұқсат етілетін шекті деңгейлері;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қорқорға арналған темекідегі, қорқор қоспасындағы никотин мен шайырлы заттар құрамының рұқсат етілетін шекті деңгейлері;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қыздырылатын темекісі бар бұйымдардағы, темекіні қыздыруға арналған жүйедегі, тұтынудың электрондық жүйелері мен оларға арналған сұйықтықтардағы никотин мен шайырлы заттар құрамының рұқсат етілетін шекті деңгейлері анықталсын.</w:t>
      </w:r>
    </w:p>
    <w:bookmarkEnd w:id="4"/>
    <w:bookmarkStart w:name="z6" w:id="5"/>
    <w:p>
      <w:pPr>
        <w:spacing w:after="0"/>
        <w:ind w:left="0"/>
        <w:jc w:val="both"/>
      </w:pPr>
      <w:r>
        <w:rPr>
          <w:rFonts w:ascii="Times New Roman"/>
          <w:b w:val="false"/>
          <w:i w:val="false"/>
          <w:color w:val="000000"/>
          <w:sz w:val="28"/>
        </w:rPr>
        <w:t xml:space="preserve">
      2. "Темекі бұйымдарындағы никотин мен шайырлы заттар құрамының шекті рұқсат етілген деңгейлерін бекіту туралы" Қазақстан Республикасы Ұлттық экономика министрінің 2015 жылғы 9 маусымдағы № 424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11689 болып тіркелген, "Әділет" ақпараттық-құқықтық жүйесінде 2015 жылғы 03 тамызда жарияланған) күші жойылды деп танылсын. </w:t>
      </w:r>
    </w:p>
    <w:bookmarkEnd w:id="5"/>
    <w:bookmarkStart w:name="z7" w:id="6"/>
    <w:p>
      <w:pPr>
        <w:spacing w:after="0"/>
        <w:ind w:left="0"/>
        <w:jc w:val="both"/>
      </w:pPr>
      <w:r>
        <w:rPr>
          <w:rFonts w:ascii="Times New Roman"/>
          <w:b w:val="false"/>
          <w:i w:val="false"/>
          <w:color w:val="000000"/>
          <w:sz w:val="28"/>
        </w:rPr>
        <w:t>
      1.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ДСМ-277/2020</w:t>
            </w:r>
            <w:r>
              <w:br/>
            </w:r>
            <w:r>
              <w:rPr>
                <w:rFonts w:ascii="Times New Roman"/>
                <w:b w:val="false"/>
                <w:i w:val="false"/>
                <w:color w:val="000000"/>
                <w:sz w:val="20"/>
              </w:rPr>
              <w:t>бұйрығына 1-қосымша</w:t>
            </w:r>
          </w:p>
        </w:tc>
      </w:tr>
    </w:tbl>
    <w:bookmarkStart w:name="z14" w:id="12"/>
    <w:p>
      <w:pPr>
        <w:spacing w:after="0"/>
        <w:ind w:left="0"/>
        <w:jc w:val="left"/>
      </w:pPr>
      <w:r>
        <w:rPr>
          <w:rFonts w:ascii="Times New Roman"/>
          <w:b/>
          <w:i w:val="false"/>
          <w:color w:val="000000"/>
        </w:rPr>
        <w:t xml:space="preserve"> шегілетін темекі бұйымдарындағы никотин мен шайырлы заттар құрамының рұқсат етілетін шекті деңгейлері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514"/>
        <w:gridCol w:w="5868"/>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түрі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1 бірлігінің түтініндегі никотин құрамының рұқсат етілетін шекті деңгейі, сигаретке миллиграмм</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1 бірлігінің түтініндегі шайырлы заттар құрамының рұқсат етілетін шекті деңгейі, сигаретке миллиграмм</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Сигарета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 көрсеткішті айқындау "Кеден одағының "Темекі өніміне арналған техникалық регламент" (КО ТР 035/2014) техникалық регламентінің талаптарын қолдану және орындау және техникалық реттеу объектілерінің сәйкестігін бағалауды жүзеге асыру үшін қажетті зерттеу (сынау) және өлшеу қағидалары мен әдістерін, оның ішінде үлгілерді іріктеу қағидаларын қамтитын стандарттардың тізбесі туралы" Еуразиялық экономикалық комиссия Алқасының 2016 жылғы 26 қаңтардағы № 9 шешімімен бекітілген зерттеу (сынау) және өлшеу қағидалары мен әдістерін, оның ішінде үлгілерді іріктеу қағидаларын қамтитын стандарттарға сәйкес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ДСМ-277/2020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bl>
    <w:bookmarkStart w:name="z16" w:id="13"/>
    <w:p>
      <w:pPr>
        <w:spacing w:after="0"/>
        <w:ind w:left="0"/>
        <w:jc w:val="left"/>
      </w:pPr>
      <w:r>
        <w:rPr>
          <w:rFonts w:ascii="Times New Roman"/>
          <w:b/>
          <w:i w:val="false"/>
          <w:color w:val="000000"/>
        </w:rPr>
        <w:t xml:space="preserve"> Қорқорға арналған темекідегі, қорқор қоспасындағы никотин мен шайырлы заттар құрамының рұқсат етілетін шекті деңгейлері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5116"/>
        <w:gridCol w:w="5566"/>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түрлері</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түтініндегі никотин құрамының рұқсат етілетін шекті деңгейі мг/см</w:t>
            </w:r>
            <w:r>
              <w:rPr>
                <w:rFonts w:ascii="Times New Roman"/>
                <w:b w:val="false"/>
                <w:i w:val="false"/>
                <w:color w:val="000000"/>
                <w:vertAlign w:val="superscript"/>
              </w:rPr>
              <w:t>3</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түтініндегі шайырлы заттар құрамының рұқсат етілетін шекті деңгейі мг/см</w:t>
            </w:r>
            <w:r>
              <w:rPr>
                <w:rFonts w:ascii="Times New Roman"/>
                <w:b w:val="false"/>
                <w:i w:val="false"/>
                <w:color w:val="000000"/>
                <w:vertAlign w:val="superscript"/>
              </w:rPr>
              <w:t>3</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Қорқорға арналған темекі</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Қорқор қоспасы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 көрсеткіш мәні анықтаудың көрсетілген әдісінің метрологиялық сипаттамаларын және қолда бар ғылыми деректерді есепке ала отырып, тиісті анықтау әдісін айқындайтын стандарт қолданысқа енгізілгеннен кейін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ДСМ-277/2020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bl>
    <w:bookmarkStart w:name="z18" w:id="14"/>
    <w:p>
      <w:pPr>
        <w:spacing w:after="0"/>
        <w:ind w:left="0"/>
        <w:jc w:val="left"/>
      </w:pPr>
      <w:r>
        <w:rPr>
          <w:rFonts w:ascii="Times New Roman"/>
          <w:b/>
          <w:i w:val="false"/>
          <w:color w:val="000000"/>
        </w:rPr>
        <w:t xml:space="preserve"> Қыздырылатын темекісі бар бұйымдардағы, тұтынудың электрондық жүйелері мен оларға арналған сұйықтықтардағы никотин мен шайырлы заттар құрамының рұқсат етілетін шекті деңгейлері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4847"/>
        <w:gridCol w:w="4292"/>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түрлері</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құрамының рұқсат етілетін шекті деңгейі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Шайырлы заттар құрамының рұқсат етілетін шекті деңгейі</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Тұтынудың электрондық жүйелеріне арналған сұйықтықтар</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қыздыруға арналған жүйе</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Тұтынудың электрондық жүйелері</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 – көрсеткіш мәні анықтаудың көрсетілген әдісінің метрологиялық сипаттамаларын және қолда бар ғылыми деректерді есепке ала отырып, тиісті анықтау әдісін айқындайтын стандарт қолданысқа енгізілгеннен кейін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