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8dea" w14:textId="365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 шығаруының шарттарын, көлемін және нысаналы мақсатын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24 сәуірдегі № А-5/231 қаулысы. Ақмола облысының Әділет департаментінде 2020 жылғы 24 сәуірде № 7839 болып тіркелді. Күші жойылды - Ақмола облысы әкімдігінің 2022 жылғы 11 тамыздағы № А-8/381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11.08.2022 </w:t>
      </w:r>
      <w:r>
        <w:rPr>
          <w:rFonts w:ascii="Times New Roman"/>
          <w:b w:val="false"/>
          <w:i w:val="false"/>
          <w:color w:val="ff0000"/>
          <w:sz w:val="28"/>
        </w:rPr>
        <w:t>№ А-8/381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 Қазақстан Республикасы Үкіметінің 2020 жылғы 20 наурыздағы № 126 қаулысына өзгеріс мен толықтыру енгізу туралы" Қазақстан Республикасы Үкіметінің 2020 жылғы 22 сәуірдегі № 235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Ішкі нарықта айналысқа жіберу үшін келесі мемлекеттік бағалы қағаздар шығаруының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2020 жыл;</w:t>
      </w:r>
    </w:p>
    <w:p>
      <w:pPr>
        <w:spacing w:after="0"/>
        <w:ind w:left="0"/>
        <w:jc w:val="both"/>
      </w:pPr>
      <w:r>
        <w:rPr>
          <w:rFonts w:ascii="Times New Roman"/>
          <w:b w:val="false"/>
          <w:i w:val="false"/>
          <w:color w:val="000000"/>
          <w:sz w:val="28"/>
        </w:rPr>
        <w:t>
      бағалы қағаздардың түрі –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қаржыландыру үшін облыстардың, республикалық маңызы бар қалалардың, астананың жергілікті атқарушы органдарымен ішкі нарықта айналысқа жіберу үшін мемлекеттік бағалы қағаздар;</w:t>
      </w:r>
    </w:p>
    <w:p>
      <w:pPr>
        <w:spacing w:after="0"/>
        <w:ind w:left="0"/>
        <w:jc w:val="both"/>
      </w:pPr>
      <w:r>
        <w:rPr>
          <w:rFonts w:ascii="Times New Roman"/>
          <w:b w:val="false"/>
          <w:i w:val="false"/>
          <w:color w:val="000000"/>
          <w:sz w:val="28"/>
        </w:rPr>
        <w:t>
      сыйақы мөлшерлемесі – жылдық 4,25% (төрт бүтін жиырма бес жүздік пайыз);</w:t>
      </w:r>
    </w:p>
    <w:p>
      <w:pPr>
        <w:spacing w:after="0"/>
        <w:ind w:left="0"/>
        <w:jc w:val="both"/>
      </w:pPr>
      <w:r>
        <w:rPr>
          <w:rFonts w:ascii="Times New Roman"/>
          <w:b w:val="false"/>
          <w:i w:val="false"/>
          <w:color w:val="000000"/>
          <w:sz w:val="28"/>
        </w:rPr>
        <w:t>
      қарыз мерзімі – 22 (жиырма екі) айға дейін;</w:t>
      </w:r>
    </w:p>
    <w:p>
      <w:pPr>
        <w:spacing w:after="0"/>
        <w:ind w:left="0"/>
        <w:jc w:val="both"/>
      </w:pPr>
      <w:r>
        <w:rPr>
          <w:rFonts w:ascii="Times New Roman"/>
          <w:b w:val="false"/>
          <w:i w:val="false"/>
          <w:color w:val="000000"/>
          <w:sz w:val="28"/>
        </w:rPr>
        <w:t>
      қарыз бойынша сыйақы төлеу – жарты жылда 1 (бір) рет;</w:t>
      </w:r>
    </w:p>
    <w:p>
      <w:pPr>
        <w:spacing w:after="0"/>
        <w:ind w:left="0"/>
        <w:jc w:val="both"/>
      </w:pPr>
      <w:r>
        <w:rPr>
          <w:rFonts w:ascii="Times New Roman"/>
          <w:b w:val="false"/>
          <w:i w:val="false"/>
          <w:color w:val="000000"/>
          <w:sz w:val="28"/>
        </w:rPr>
        <w:t>
      негізгі борышты төлеу – қарыз мерзімінің соңында, қарыз алушының бастамасы бойынша мерзімінен бұрын өтеу құқығымен;</w:t>
      </w:r>
    </w:p>
    <w:bookmarkStart w:name="z4" w:id="3"/>
    <w:p>
      <w:pPr>
        <w:spacing w:after="0"/>
        <w:ind w:left="0"/>
        <w:jc w:val="both"/>
      </w:pPr>
      <w:r>
        <w:rPr>
          <w:rFonts w:ascii="Times New Roman"/>
          <w:b w:val="false"/>
          <w:i w:val="false"/>
          <w:color w:val="000000"/>
          <w:sz w:val="28"/>
        </w:rPr>
        <w:t>
      2) көлемі – 4 423 401 000 (төрт миллиард төрт жүз жиырма үш миллион төрт жүз бір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қаржыландыру.</w:t>
      </w:r>
    </w:p>
    <w:bookmarkEnd w:id="4"/>
    <w:bookmarkStart w:name="z6" w:id="5"/>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