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974d" w14:textId="8ec9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2017 жылғы 20 маусымдағы № 6С-12/5 "Бұланды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2020 жылғы 10 маусымдағы № 6С-59/2 шешімі. Ақмола облысының Әділет департаментінде 2020 жылғы 19 маусымда № 7903 болып тіркелді. Күші жойылды - Ақмола облысы Бұланды аудандық мәслихатының 2022 жылғы 18 сәуірдегі № 7С-20/1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18.04.2022 </w:t>
      </w:r>
      <w:r>
        <w:rPr>
          <w:rFonts w:ascii="Times New Roman"/>
          <w:b w:val="false"/>
          <w:i w:val="false"/>
          <w:color w:val="ff0000"/>
          <w:sz w:val="28"/>
        </w:rPr>
        <w:t>№ 7С-20/1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"Бөлек жергілікті қоғамдастық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"Бұланды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20 маусымдағы № 6С-12/5 (Нормативтік құқықтық актілерді мемлекеттік тіркеу тізілімінде № 6027 болып тіркелген, 2017 жылғы 02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Бұланды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айқындауда</w:t>
      </w:r>
      <w:r>
        <w:rPr>
          <w:rFonts w:ascii="Times New Roman"/>
          <w:b w:val="false"/>
          <w:i w:val="false"/>
          <w:color w:val="000000"/>
          <w:sz w:val="28"/>
        </w:rPr>
        <w:t>, "Даниловка ауылдық округі" сөздері "Алтынды ауылдық округі" сөздерімен ауыстырылсын.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мәслихатының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К.Рамазанов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