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93f2" w14:textId="2c19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25 желтоқсандағы № 6С-48/2 "2020-2022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29 мамырдағы № 6С-54/2 шешімі. Ақмола облысының Әділет департаментінде 2020 жылғы 1 маусымда № 7868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Жарқайың ауданының Державин қаласы, ауылдық округтері мен ауылдарының бюджеттері туралы" 2019 жылғы 25 желтоқсандағы № 6С-48/2 (Нормативтік құқықтық актілерді мемлекеттік тіркеу тізілімінде № 7647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Державин қаласының бюджеті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- 67466,0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- 33132,0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-14576,0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- 14576,0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2020 жылға арналған Державин қаласы бюджеті көлемінде аудандық бюджеттен берілетін трансферттер 14186,0 мың теңге сомасында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Жаңадала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Гастелло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Далабай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Құмсуат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Львов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Пригород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Пятигор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Тасөткел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Тассуат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