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df77" w14:textId="31ed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9 желтоқсандағы № 452 шешімі. Ақтөбе облысының Әділет департаментінде 2020 жылғы 14 желтоқсанда № 7790 болып тіркелді. Күші жойылды - Ақтөбе облысы Алға аудандық мәслихатының 2024 жылғы 28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актілердің мемлекеттік тіркеу Тізілімінде № 5676 тіркелген, 2017 жылғы 20 қазанда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бекітілген, Алға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Ереженің 7 тармағында көзделген жағдайды қоспағанда, отбасының табыстарын растайтын құжаттарды және коммуналдық шығыстардың шоттарын ғана ұсынады.".</w:t>
      </w:r>
    </w:p>
    <w:bookmarkStart w:name="z8" w:id="3"/>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9"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