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3b4d" w14:textId="3123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2019 жылғы 9 тамыздағы № 375 "Қарғалы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тәртібін және мөлшерін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2020 жылғы 11 наурыздағы № 423 шешімі. Ақтөбе облысының Әділет департаментінде 2020 жылғы 16 наурызда № 6871 болып тіркелді. Күші жойылды - Ақтөбе облысы Қарғалы аудандық мәслихатының 2020 жылғы 3 маусымдағы № 470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03.06.2020 </w:t>
      </w:r>
      <w:r>
        <w:rPr>
          <w:rFonts w:ascii="Times New Roman"/>
          <w:b w:val="false"/>
          <w:i w:val="false"/>
          <w:color w:val="ff0000"/>
          <w:sz w:val="28"/>
        </w:rPr>
        <w:t>№ 470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Қарғалы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Қарғалы аудандық мәслихатының 2019 жылғы 9 тамыздағы № 375 "Қарғалы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6348 тіркелген, 2019 жылғы 20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w:t>
      </w:r>
      <w:r>
        <w:rPr>
          <w:rFonts w:ascii="Times New Roman"/>
          <w:b w:val="false"/>
          <w:i w:val="false"/>
          <w:color w:val="000000"/>
          <w:sz w:val="28"/>
        </w:rPr>
        <w:t>бекітілген</w:t>
      </w:r>
      <w:r>
        <w:rPr>
          <w:rFonts w:ascii="Times New Roman"/>
          <w:b w:val="false"/>
          <w:i w:val="false"/>
          <w:color w:val="000000"/>
          <w:sz w:val="28"/>
        </w:rPr>
        <w:t xml:space="preserve"> Қарғалы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 және мөлшерінде: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2) тармақшасы алынып тасталсын.</w:t>
      </w:r>
    </w:p>
    <w:bookmarkStart w:name="z11" w:id="3"/>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bookmarkEnd w:id="4"/>
    <w:bookmarkStart w:name="z13" w:id="5"/>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 Кольжанов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Заглядова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