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a208" w14:textId="9bfa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24 желтоқсандағы № 531 шешімі. Ақтөбе облысының Әділет департаментінде 2020 жылғы 29 желтоқсанда № 7864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орыс тіліндегі тақырыбы жаңа редакцияда, қазақ тіліндегі мәтіні өзгермейді - Ақтөбе облысы Қарғалы аудандық мәслихатының 12.03.2021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1. Қарғалы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облыстық Әділет департаметінде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