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0768" w14:textId="f080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Шұбарқұдық ауылдық округі әкімінің 2020 жылғы 12 наурыздағы № 43 "Шұбарқұдық кентінің атаусыз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Шұбарқұдық ауылдық округі әкімінің 2020 жылғы 27 қарашадағы № 221 шешімі. Ақтөбе облысының Әділет департаментінде 2020 жылғы 30 қарашада № 7741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Ақтөбе облысының әкімдігі жанындағы облыстық ономастика комиссиясының 2019 жылдың 19 желтоқсандағы қорытындысының негізінде және тиісті аумақ халқының пiкiрiн ескере отырып, Шұбарқұдық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Шұбарқұдық ауылдық округі әкімінің 2020 жылғы 12 наурыздағы № 43 "Шұбарқұдық кентінің атаусыз көшелеріне атау беру туралы" (Нормативтік құқықтық актілерді мемлекеттік тіркеу тізілімінде № 6874 тіркелген, 2020 жылғы 19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шешімінің орыс тіліндегі мәтінінде 4 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постановление" деген сөздер "Настоящее решение" деген сөздермен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Шұбарқұдық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Шұбарқұдық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