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3e40" w14:textId="e2d3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мөлшерін айқындау туралы</w:t>
      </w:r>
    </w:p>
    <w:p>
      <w:pPr>
        <w:spacing w:after="0"/>
        <w:ind w:left="0"/>
        <w:jc w:val="both"/>
      </w:pPr>
      <w:r>
        <w:rPr>
          <w:rFonts w:ascii="Times New Roman"/>
          <w:b w:val="false"/>
          <w:i w:val="false"/>
          <w:color w:val="000000"/>
          <w:sz w:val="28"/>
        </w:rPr>
        <w:t>Жамбыл облысы Шу аудандық мәслихатының 2020 жылғы 20 сәуірдегі № 61-3 шешімі. Жамбыл облысының Әділет департаментінде 2020 жылғы 22 сәуірде № 4580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 мемлекеттік реттеу туралы" 2005 жылғы 8 шілдедегі Қазақстан Республикасы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әлуметтік қамсыздандыру, мәдениет, спорт және агроөнеркәсіптік кешен саласындағы мамандарына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Шу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Аудан әкімімен мәлімдеген қажеттілікті ескере отырып, ауданның ауылдық елді мекендеріне 2020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мөлшері айқындалсын:</w:t>
      </w:r>
    </w:p>
    <w:bookmarkEnd w:id="1"/>
    <w:bookmarkStart w:name="z9"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10" w:id="3"/>
    <w:p>
      <w:pPr>
        <w:spacing w:after="0"/>
        <w:ind w:left="0"/>
        <w:jc w:val="both"/>
      </w:pP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 болып айқындалсын.</w:t>
      </w:r>
    </w:p>
    <w:bookmarkEnd w:id="3"/>
    <w:bookmarkStart w:name="z11" w:id="4"/>
    <w:p>
      <w:pPr>
        <w:spacing w:after="0"/>
        <w:ind w:left="0"/>
        <w:jc w:val="both"/>
      </w:pPr>
      <w:r>
        <w:rPr>
          <w:rFonts w:ascii="Times New Roman"/>
          <w:b w:val="false"/>
          <w:i w:val="false"/>
          <w:color w:val="000000"/>
          <w:sz w:val="28"/>
        </w:rPr>
        <w:t>
      2. Осы шешімнің орындалуын бақылау аудандық мәслихаттың әлеуметтік-мәдени саланы, денсаулық сақтау, білім, қоғамдық және жастар ұйымдарымен байланысты дамыту, қоғамдық құқықтық тәртіпті сақтау, әкімшілік-аумақтық құрылымды жетілдіру жөніндегі тұрақты комиссиясына жүктелсін.</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Шу ауданының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Кадырбеков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Шу ауданының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