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5539" w14:textId="b245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2011 жылғы 29 қарашадағы XLI сессиясының № 465 "Қоршаған ортаға эмиссиялар үшін төлемақы ставкалары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2020 жылғы 10 желтоқсандағы № 593 шешімі. Қарағанды облысының Әділет департаментінде 2020 жылғы 15 желтоқсанда № 6127 болып тіркелді. Күші жойылды - Қарағанды облыстық мәслихатының 2023 жылғы 14 желтоқсандағы № 124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облыстық мәслихатының 14.12.2023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2011 жылғы 29 қарашадағы XLI сессиясының № 465 "Қоршаған ортаға эмиссиялар үшін төлемақы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1903 болып тіркелді, "Орталық Қазақстан" 2011 жылғы 27 желтоқсандағы № 216 (21204); "Индустриальная Караганда" 2011 жылғы 27 желтоқсандағы, № 148 (21162) газеттерде жарияланды)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576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мәслихаты ШЕШІМ ЕТТІ:"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"Салық және бюджетке төленетін басқа да міндетті төлемдер туралы (Салық кодексі)"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қоршаған ортаға эмиссиялар үшін төлемақы ставкалары ластағыш заттардың жеке түрлері бойынша Қарағанды облысы бойынша 1,4 есеге арттырылсын.";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өнеркәсіп, шағын және орта бизнесті дамыту, аграрлық мәселелер және экология жөніндегі тұрақты комиссиясына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ХLI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 шешіміне 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қоршаған ортаға эмиссиялар үшін төлемақы ставкалары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 шығарғаны үшін төлемақы мөлшерлемелері мыналарды құрайды: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қосындылары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Күкіртсутек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697,62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 төккені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Оттегіне биологиялық қажеттілік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бетүсті-белсенді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орналастырғаны үшін төлемақы мөлшерлемелері мыналарды құрайды: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орналастырғаны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(тұрмыстық қатты қалдықтар, тазарту құрылыстарының кәріздік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тармақтың 1.3-жолында көрсетілген қалдықтарды қоспағанда, қауіптілік деңгейі ескеріле отырып,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"жақұт"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"жасыл" тізім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сыныпталмағандар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Төлемақысы есептелген кезде белгіленген қауіптілік деңгейі ескерілмейтін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қалдықтарды орналастырғаны үшін, гигабеккерельмен (Гбк):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