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cb3f" w14:textId="c5e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алушылар санатының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19 маусымдағы № 1722/39 шешімі. Қарағанды облысының Әділет департаментінде 2020 жылғы 25 маусымда № 5900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9), 11) тармақшаларына,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тіркелген) сәйкес, Шахтинск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мөлшерін және алушылар санатының тізбесі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202/20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10 %, алайда әлеуметтік көмек түрі ретінде 1500000 (бір миллион бес жүз мың) теңгеден артық емес.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Шахтинск қалалық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202/20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уәкілетті орган бекiтетiн аурулар тiзiмiнде аталған кейбiр созылмалы аурулардың ауыр түрлерiмен ауыратын адамдар Қазақстан Республикасы Денсаулық сақтау министрінің 2022 жылғы 16 ақпандағы № ҚР ДСМ-14 "Кейбір созылмалы аурулардың ауыр нысандарының тізімін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 жатады.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