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356a" w14:textId="8ef3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қорғаныс істері жөніндегі бөлімінің шақыру учаскесіне 2003 жылы туған ер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2020 жылғы 9 қаңтардағы № 1 шешімі. Қарағанды облысының Әділет департаментінде 2020 жылғы 13 қаңтарда № 5677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қорғаныс істері жөніндегі бөлімінің шақыру учаскесіне 2003 жылы туған ер азаматтарды тіркеуді өткізу және оларды әскери есепке алу мақсатында, Абай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қорғаныс істері жөніндегі бөлімінің шақыру учаскесіне 2003 жылы туған ер азаматтарды тіркеу 2020 жылдың 01 сәуіріне дейін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ауданының қала, кент, ауылдық округтар және ауыл әкімдері 2003 жылы туған жасөспірімдердің Абай ауданының қорғаныс істері жөніндегі бөлімінің шақыру комиссиясына 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