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df93" w14:textId="30ad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2018 жылғы 21 маусымдағы № 32/352 "Абай ауданындағы салық салу объектісінің бірлігіне тіркелген салықтың бірыңғай мөлшерлемелерінің мөлшерлерін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2020 жылғы 15 маусымдағы № 64/684 шешімі. Қарағанды облысының Әділет департаментінде 2020 жылғы 16 маусымда № 5875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жылгы 25 желтоқсандағы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2018 жылғы 21 маусымдағы № 32/352 "Абай ауданындағы салық салу объектісінің бірлігіне тіркелген салықтың бірыңғай мөлшерлемелерінің мөлшерлерін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4853 болып тіркелген, Қазақстан Республикасының нормативтік құқықтық актілерінің электрондық түрдегі эталондық бақылау банкісінде 2018 жылы 13 шілдеде және 2018 жылғы 14 шілдеде № 27 (4222) "Абай-Ақиқат" аудандық газетінде жарияланған).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Черепанов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