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f7d5" w14:textId="0cbf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44 сессиясының 2020 жылғы 14 қаңтардағы № 4 "2020-2022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26 қазандағы № 5 шешімі. Қарағанды облысының Әділет департаментінде 2020 жылғы 5 қарашада № 6068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44 сессиясының 2020 жылғы 14 қаңтардағы №4 "2020-2022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№5686 болып тіркелген, Қазақстан Республикасы нормативтік құқықтық актілерінің эталондық бақылау банкінде электрондық түрде 2020 жылы 23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248 573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18 892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229 681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252 863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146 546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7 810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138 736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151 786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5 240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184 371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51 060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133 311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187 165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2 794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315 784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9 100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306 684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317 011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59 524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5 331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54 193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60 796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42 165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40 423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42 466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38 491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2 900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35 591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42 119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3 628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80 244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79 134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80 811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64 485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3 211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60 924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65 188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140 384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16 303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124 081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145 204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4 820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25 106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537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24 143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25 106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25 255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443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478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24 334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25 255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27 309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426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26 540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27 309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26 767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1 157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1 591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24 019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26 767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Қызылқаиың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36 227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1 240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34 987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36 227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31 558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1 850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761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28 947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31 558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31 185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30 532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31 185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33 456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32 285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33 456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41 301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1 398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2 989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36 914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41 301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2020-2022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31 721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615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30 359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31 721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36 718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449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35 339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36 718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48 235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764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47 141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48 235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2020-2022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42 519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2 361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2 290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37 868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42 519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2020-2022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80 686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2 257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78 429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80 686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59 925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2020-2022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21 770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206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21 441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21 770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2020-2022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28 121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526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24 175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28 121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33 584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2 172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30 722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33 584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2020-2022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35 729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3 069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1 753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30 907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35 729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32 022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2 607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28 925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32 022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0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0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1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1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1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20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2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3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3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3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4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Ақбел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4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4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Қызылқайың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5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ауылының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5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Бұқар жырау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5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Гагарин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5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6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6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Жанаталап ауылының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6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Тұзды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7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Жаңаөзен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7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Самарканд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7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Суықсу ауылының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8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Тоғызқұдық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583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58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58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