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c0d9" w14:textId="adfc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44 сессиясының 2020 жылғы 14 қаңтардағы № 4 "2020-2022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3 желтоқсандағы № 4 шешімі. Қарағанды облысының Әділет департаментінде 2020 жылғы 9 желтоқсанда № 6120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44 сессиясының 2020 жылғы 14 қаңтардағы № 4 "2020-2022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5686 болып тіркелген, Қазақстан Республикасы нормативтік құқықтық актілерінің эталондық бақылау банкінде электрондық түрде 2020 жылы 23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345 135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18 892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326 243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349 425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226 955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9 000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217 955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232 195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5 240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218 610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52 560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166 050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221 404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2 794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321 288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9 100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312 188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322 515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72 354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5 723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66 631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73 626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42 375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40 633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42 676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43 757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2 900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40 857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47 385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3 628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81 044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79 934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81 611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110 029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3 211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106 468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110 732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158 585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16 303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142 282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163 405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4 820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28 137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537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27 124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28 137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25 134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443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478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24 213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25 134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33 756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426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32 987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33 756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29 946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1 157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1 591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27 198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29 946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Қызылқаиың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42 345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1 240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41 105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42 345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40 498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1 850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761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37 887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40 498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33 363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639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32 480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33 363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40 112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38 941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40 112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47 826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1 709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2 989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43 128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47 826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2020-2022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37 294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615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35 932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37 294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46 108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449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44 729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46 108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55 557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907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54 320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55 557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2020-2022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47 142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2 938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2 290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41 914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47 142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2020-2022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80 186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2 257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77 929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80 186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–59 925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2020-2022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22 403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206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22 074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22 403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2020-2022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34 383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526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30 437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34 383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35 685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823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2 172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32 690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35 685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2020-2022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43 099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3 069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1 753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38 277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43 099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42 493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3 548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38 455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42 493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Ақбел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Қызылқайың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ауылының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Бұқар жырау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Гагарин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Жанаталап ауылының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Тұзды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7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Жаңаөзен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7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Самарканд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7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Суықсу ауылының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Тоғызқұдық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58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58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58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