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8650" w14:textId="a5d8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2019 жылғы 31 желтоқсандағы № 49/337 "2020-2022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2020 жылғы 17 қыркүйектегі № 59/399 шешімі. Қарағанды облысының Әділет департаментінде 2020 жылғы 28 қыркүйекте № 6046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2019 жылғы 31 желтоқсандағы №49/337 "2020-2022 жылдарға арналған кенттер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№5672 болып тіркелген, Қазақстан Республикасының нормативтік құқықтық актілерінің эталондық бақылау банкінде электрондық түрде 2020 жылдың 20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617 549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42 262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575 287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867 121мың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249 572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249 572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249 566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25 010 мың теңге: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24 852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29 475 мың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4465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4465 мың теңге: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4465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61 983 мың теңге: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259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61 724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61 983 мың теңге;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23 374 мың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114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23 260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23 374 мың теңге;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46 911 мың теңге: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181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46 730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97 001 мың теңге;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50 090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50 090 мың теңге: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50 090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39 488 мың теңге: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176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39 312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44 018 мың теңге;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4530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4530 мың теңге: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4530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31 377 мың теңге: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242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31 135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33 323 мың теңге;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1946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1946 мың теңге: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1946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47 720 мың теңге: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47 510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108 187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60 467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60 467 мың теңге: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60 000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467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33 202 мың теңге: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563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300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32 339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38 725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5523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5523 мың теңге: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5523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43 075 мың теңге: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42 315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43 075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33 523 мың теңге: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217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33 306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82 023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48 500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48 500 мың теңге: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48 500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40 530 мың теңге: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183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630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39 717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125 930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85 400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85 400 мың теңге: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85 400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55 549 мың теңге: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306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55 243 мың теңге;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95 549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40 000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40 000 мың теңге: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40 000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Целинный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бекітілсін":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23 408 мың теңге: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189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23 219 мың теңге;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67 327 мың теңге;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43 919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43 919 мың теңге: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43 919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5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Жаңаарқа кентінің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5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6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Ақтубек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6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Айнабұлақ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6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Байдалы би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6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Бидайық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7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Мұқажан Жұмажанов атындағы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27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Ералиев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27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Қараағаш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28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кентінің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28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Сейфуллин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28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Талдыбұлақ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29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Түгіскен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29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Целинный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29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 және ауылдық округтердің бюджетті орындау барысында секвестрлеуге жатпайтын бюджеттік бағдарламалардың тізбесі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 №49/337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төменгі тұрған бюджеттерге берілетін нысаналы ағымдағы трансферттер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