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fd9" w14:textId="90a4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2019 жылғы 31 желтоқсандағы XL сессиясының "2020-2022 жылдарға арналған кенттер, ауылдық округтер бюджеттері туралы"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30 сәуірдегі № 372 шешімі. Қарағанды облысының Әділет департаментінде 2020 жылғы 5 мамырда № 5821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2019 жылғы 31 желтоқсандағы XL сессиясының "2020-2022 жылдарға арналған кенттер, ауылдық округтер бюджеттері туралы" № 354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5678 болып тіркелген, 2020 жылғы 11 қаңтардағы № 2-3 (6232), 2020 жылғы 18 қаңтардағы № 4-5 (6234), 2020 жылғы 1 ақпандағы № 6-7 (6236), 2020 жылғы 8 ақпандағы № 8-9 (6238), 2020 жылғы 15 ақпандағы № 10-11 (6240) "Ұлытау" газетінде, Қазақстан Республикасы нормативтік құқықтық актілерінің эталондық бақылау банкінде электрондық түрде 2020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613 197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609 877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667 854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54 657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54 657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632 271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625 713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986 592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354 321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354 321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345 151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9 170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59 420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58 874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110 714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1 218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108 501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110 714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41 470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40 163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41 470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33 853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33 341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33 853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77 984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3 723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73 409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77 984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32 167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33 077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49 192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806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47 428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49 192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43 102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1 305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40 570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43 102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31 166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30 303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31 166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78 868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1 194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76 465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78 868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122 239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751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120 906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122 239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38 650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823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37 213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38 650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31 285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923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29 453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31 285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 жылға арналған кенттер, ауылдық округтер бюджеттерінің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2020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2020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2020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2020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2020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2020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2020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2020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2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2020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2020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3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2020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3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2020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4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2020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4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кенттер, ауылдық округтер бюджеттерінің құрамындағы нысаналы трансферттер мен бюджеттік кредиттер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