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944b" w14:textId="a659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2019 жылғы 31 желтоқсандағы XL сессиясының "2020-2022 жылдарға арналған кенттер, ауылдық округтер бюджеттері туралы" № 354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2020 жылғы 27 тамыздағы № 385 шешімі. Қарағанды облысының Әділет департаментінде 2020 жылғы 9 қыркүйекте № 6027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2019 жылғы 31 желтоқсандағы XL сессиясының "2020-2022 жылдарға арналған кенттер, ауылдық округтер бюджеттері туралы" №354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№5678 болып тіркелген, 2020 жылғы 11 қаңтардағы №2-3 (6232), 2020 жылғы 18 қаңтардағы №4-5 (6234), 2020 жылғы 1 ақпандағы №6-7 (6236), 2020 жылғы 8 ақпандағы №8-9 (6238), 2020 жылғы 15 ақпандағы №10-11 (6240) "Ұлытау" газетінде, Қазақстан Республикасы нормативтік құқықтық актілерінің эталондық бақылау банкінде электрондық түрде 2020 жылдың 22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605 187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601 867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659 844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54 657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54 657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1 657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62 130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61 584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62 130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112 714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1 218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110 501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112 714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52 452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51 145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52 452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49 097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48 585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49 097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92 763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3 723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88 188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92 763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37 631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36 721мың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37 631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46 978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1 227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1 305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44 446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46 978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42 964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863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42 101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42 964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74 429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1 209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1 194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72 026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74 429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183 076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751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181 743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183 076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42 648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823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614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41 211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42 648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33 783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909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923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31 951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33 783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 жылға арналған кенттер, ауылдық округтер бюджеттерінің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белгіленсін.";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2020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2020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2020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2020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2020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2020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2020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8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2020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8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2020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8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2020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9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2020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29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2020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29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2020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0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2020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0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кенттер, ауылдық округтер бюджеттерінің құрамындағы нысаналы трансферттер мен бюджеттік кредиттер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