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f3fa" w14:textId="bb9f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ауылдық округінің Еңбек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селолық округі әкімінің 2020 жылғы 26 наурыздағы № 1-03/02 шешімі. Павлодар облысының Әділет департаментінде 2020 жылғы 31 наурызда № 6778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Мәмәйіт Омаров атындағы ауылдық округінің Еңбек ауылы тұрғындарының пікірін ескере отырып және 2019 жылғы 13 желтоқсандағы облыстық ономастика комиссиясының қорытындысы негізінде, Мәмәйіт Омаров атындағы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Мәмәйіт Омаров атындағы ауылдық округінің Еңбек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"Красноармейская" көшесі "Атамекен"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"Ардагерлер"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"Школьный тұйық" көшесі "Атамұра"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"Новостроительная"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"Торговая" көшесі "Ақмешіт"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Мәмәйіт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атындағы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