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b3a5" w14:textId="85ab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VI сайланған Алматы қаласы мәслихатының кезектен тыс LXX сессиясының 2020 жылғы 30 қазандағы № 497 шешiмi. Алматы қаласы Әдiлет департаментінде 2020 жылғы 6 қарашада № 1656 болып тіркелді.</w:t>
      </w:r>
    </w:p>
    <w:p>
      <w:pPr>
        <w:spacing w:after="0"/>
        <w:ind w:left="0"/>
        <w:jc w:val="both"/>
      </w:pPr>
      <w:r>
        <w:rPr>
          <w:rFonts w:ascii="Times New Roman"/>
          <w:b w:val="false"/>
          <w:i w:val="false"/>
          <w:color w:val="ff0000"/>
          <w:sz w:val="28"/>
        </w:rPr>
        <w:t xml:space="preserve">
      Ескерту. Тақырыбы жаңа редакцияда - Алматы қаласы мәслихатының 18.09.2021 № 94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Кодексінің </w:t>
      </w:r>
      <w:r>
        <w:rPr>
          <w:rFonts w:ascii="Times New Roman"/>
          <w:b w:val="false"/>
          <w:i w:val="false"/>
          <w:color w:val="000000"/>
          <w:sz w:val="28"/>
        </w:rPr>
        <w:t>12-бабы 1-тармағының 5) тармақшасына</w:t>
      </w:r>
      <w:r>
        <w:rPr>
          <w:rFonts w:ascii="Times New Roman"/>
          <w:b w:val="false"/>
          <w:i w:val="false"/>
          <w:color w:val="000000"/>
          <w:sz w:val="28"/>
        </w:rPr>
        <w:t xml:space="preserve"> сәйкес, VI сайланған Алматы қаласының мәслихаты ШЕШІМ ҚАБЫЛДАДЫ:</w:t>
      </w:r>
    </w:p>
    <w:bookmarkStart w:name="z1" w:id="0"/>
    <w:p>
      <w:pPr>
        <w:spacing w:after="0"/>
        <w:ind w:left="0"/>
        <w:jc w:val="both"/>
      </w:pPr>
      <w:r>
        <w:rPr>
          <w:rFonts w:ascii="Times New Roman"/>
          <w:b w:val="false"/>
          <w:i w:val="false"/>
          <w:color w:val="000000"/>
          <w:sz w:val="28"/>
        </w:rPr>
        <w:t>
      1. Осы шешімнің қосымшасына сәйкес 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қаласы мәслихатының 18.09.2021 № 94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 қаласы Мәслихатының аппараты осы шешімді әділет органдарында мемлекеттік тіркеуді, оны кейіннен ресми мерзімді баспа басылымдарында жариялауды қамтамасыз етсін. </w:t>
      </w:r>
    </w:p>
    <w:p>
      <w:pPr>
        <w:spacing w:after="0"/>
        <w:ind w:left="0"/>
        <w:jc w:val="both"/>
      </w:pPr>
      <w:r>
        <w:rPr>
          <w:rFonts w:ascii="Times New Roman"/>
          <w:b w:val="false"/>
          <w:i w:val="false"/>
          <w:color w:val="000000"/>
          <w:sz w:val="28"/>
        </w:rPr>
        <w:t xml:space="preserve">
      3. Осы шешімнің орындалуын бақылау Алматы қаласы мәслихатының әлеуметтік-мәдени даму жөніндегі тұрақты комиссиясының төрағасы Б.Н. Садықовқа жүктелсін. </w:t>
      </w:r>
    </w:p>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 мәслихатының</w:t>
            </w:r>
          </w:p>
          <w:p>
            <w:pPr>
              <w:spacing w:after="20"/>
              <w:ind w:left="20"/>
              <w:jc w:val="both"/>
            </w:pPr>
          </w:p>
          <w:p>
            <w:pPr>
              <w:spacing w:after="20"/>
              <w:ind w:left="20"/>
              <w:jc w:val="both"/>
            </w:pPr>
            <w:r>
              <w:rPr>
                <w:rFonts w:ascii="Times New Roman"/>
                <w:b w:val="false"/>
                <w:i/>
                <w:color w:val="000000"/>
                <w:sz w:val="20"/>
              </w:rPr>
              <w:t>кезектен тыс LXX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Банщиков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2020 жылғы 30 қазаны № 497</w:t>
            </w:r>
            <w:r>
              <w:br/>
            </w:r>
            <w:r>
              <w:rPr>
                <w:rFonts w:ascii="Times New Roman"/>
                <w:b w:val="false"/>
                <w:i w:val="false"/>
                <w:color w:val="000000"/>
                <w:sz w:val="20"/>
              </w:rPr>
              <w:t>шешіміне қосымша</w:t>
            </w:r>
          </w:p>
        </w:tc>
      </w:tr>
    </w:tbl>
    <w:bookmarkStart w:name="z9" w:id="1"/>
    <w:p>
      <w:pPr>
        <w:spacing w:after="0"/>
        <w:ind w:left="0"/>
        <w:jc w:val="left"/>
      </w:pPr>
      <w:r>
        <w:rPr>
          <w:rFonts w:ascii="Times New Roman"/>
          <w:b/>
          <w:i w:val="false"/>
          <w:color w:val="000000"/>
        </w:rPr>
        <w:t xml:space="preserve"> Алматы қаласында тіркелген Қазақстан Республикасы азаматтарының</w:t>
      </w:r>
      <w:r>
        <w:br/>
      </w:r>
      <w:r>
        <w:rPr>
          <w:rFonts w:ascii="Times New Roman"/>
          <w:b/>
          <w:i w:val="false"/>
          <w:color w:val="000000"/>
        </w:rPr>
        <w:t xml:space="preserve">жекелеген санаттарына амбулаториялық емдеу кезінде тегін </w:t>
      </w:r>
      <w:r>
        <w:br/>
      </w:r>
      <w:r>
        <w:rPr>
          <w:rFonts w:ascii="Times New Roman"/>
          <w:b/>
          <w:i w:val="false"/>
          <w:color w:val="000000"/>
        </w:rPr>
        <w:t xml:space="preserve">медициналық көмектің кепілдік берілген көлемін, оның ішінде </w:t>
      </w:r>
      <w:r>
        <w:br/>
      </w:r>
      <w:r>
        <w:rPr>
          <w:rFonts w:ascii="Times New Roman"/>
          <w:b/>
          <w:i w:val="false"/>
          <w:color w:val="000000"/>
        </w:rPr>
        <w:t xml:space="preserve">дәрілік заттарды, арнайы емдік өнімдерді, медициналық </w:t>
      </w:r>
      <w:r>
        <w:br/>
      </w:r>
      <w:r>
        <w:rPr>
          <w:rFonts w:ascii="Times New Roman"/>
          <w:b/>
          <w:i w:val="false"/>
          <w:color w:val="000000"/>
        </w:rPr>
        <w:t>бұйымдарды қосымша тегін беру туралы тізбесі</w:t>
      </w:r>
    </w:p>
    <w:bookmarkEnd w:id="1"/>
    <w:p>
      <w:pPr>
        <w:spacing w:after="0"/>
        <w:ind w:left="0"/>
        <w:jc w:val="both"/>
      </w:pPr>
      <w:r>
        <w:rPr>
          <w:rFonts w:ascii="Times New Roman"/>
          <w:b w:val="false"/>
          <w:i w:val="false"/>
          <w:color w:val="ff0000"/>
          <w:sz w:val="28"/>
        </w:rPr>
        <w:t xml:space="preserve">
      Ескерту. Қосымша жаңа редакцияда - Алматы қаласы мәслихатының 20.06.2022 № </w:t>
      </w:r>
      <w:r>
        <w:rPr>
          <w:rFonts w:ascii="Times New Roman"/>
          <w:b w:val="false"/>
          <w:i w:val="false"/>
          <w:color w:val="ff0000"/>
          <w:sz w:val="28"/>
        </w:rPr>
        <w:t>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енгізіледі);өзгерістер енгізілді - Алматы қаласы мәслихатының 09.12.2022 № </w:t>
      </w:r>
      <w:r>
        <w:rPr>
          <w:rFonts w:ascii="Times New Roman"/>
          <w:b w:val="false"/>
          <w:i w:val="false"/>
          <w:color w:val="ff0000"/>
          <w:sz w:val="28"/>
        </w:rPr>
        <w:t>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09.08.2023 № </w:t>
      </w:r>
      <w:r>
        <w:rPr>
          <w:rFonts w:ascii="Times New Roman"/>
          <w:b w:val="false"/>
          <w:i w:val="false"/>
          <w:color w:val="ff0000"/>
          <w:sz w:val="28"/>
        </w:rPr>
        <w:t>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Тегін медициналық көмектің кепілдік берілген көлемі </w:t>
            </w:r>
          </w:p>
          <w:p>
            <w:pPr>
              <w:spacing w:after="20"/>
              <w:ind w:left="20"/>
              <w:jc w:val="both"/>
            </w:pPr>
            <w:r>
              <w:rPr>
                <w:rFonts w:ascii="Times New Roman"/>
                <w:b w:val="false"/>
                <w:i w:val="false"/>
                <w:color w:val="000000"/>
                <w:sz w:val="20"/>
              </w:rPr>
              <w:t>
шеңберіндегі дәрілік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"Тобрамицин" </w:t>
            </w:r>
          </w:p>
          <w:p>
            <w:pPr>
              <w:spacing w:after="20"/>
              <w:ind w:left="20"/>
              <w:jc w:val="both"/>
            </w:pPr>
            <w:r>
              <w:rPr>
                <w:rFonts w:ascii="Times New Roman"/>
                <w:b w:val="false"/>
                <w:i w:val="false"/>
                <w:color w:val="000000"/>
                <w:sz w:val="20"/>
              </w:rPr>
              <w:t>
"Нутриэн"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w:t>
            </w:r>
          </w:p>
          <w:p>
            <w:pPr>
              <w:spacing w:after="20"/>
              <w:ind w:left="20"/>
              <w:jc w:val="both"/>
            </w:pPr>
            <w:r>
              <w:rPr>
                <w:rFonts w:ascii="Times New Roman"/>
                <w:b w:val="false"/>
                <w:i w:val="false"/>
                <w:color w:val="000000"/>
                <w:sz w:val="20"/>
              </w:rPr>
              <w:t>
"Солкосерил"</w:t>
            </w:r>
          </w:p>
          <w:p>
            <w:pPr>
              <w:spacing w:after="20"/>
              <w:ind w:left="20"/>
              <w:jc w:val="both"/>
            </w:pPr>
            <w:r>
              <w:rPr>
                <w:rFonts w:ascii="Times New Roman"/>
                <w:b w:val="false"/>
                <w:i w:val="false"/>
                <w:color w:val="000000"/>
                <w:sz w:val="20"/>
              </w:rPr>
              <w:t>
"Бепантен"</w:t>
            </w:r>
          </w:p>
          <w:p>
            <w:pPr>
              <w:spacing w:after="20"/>
              <w:ind w:left="20"/>
              <w:jc w:val="both"/>
            </w:pPr>
            <w:r>
              <w:rPr>
                <w:rFonts w:ascii="Times New Roman"/>
                <w:b w:val="false"/>
                <w:i w:val="false"/>
                <w:color w:val="000000"/>
                <w:sz w:val="20"/>
              </w:rPr>
              <w:t>
"Офломелид офлоксацин"</w:t>
            </w:r>
          </w:p>
          <w:p>
            <w:pPr>
              <w:spacing w:after="20"/>
              <w:ind w:left="20"/>
              <w:jc w:val="both"/>
            </w:pPr>
            <w:r>
              <w:rPr>
                <w:rFonts w:ascii="Times New Roman"/>
                <w:b w:val="false"/>
                <w:i w:val="false"/>
                <w:color w:val="000000"/>
                <w:sz w:val="20"/>
              </w:rPr>
              <w:t>
"Октенисепт"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Вегенера Гранулемотозы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ішек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w:t>
            </w:r>
          </w:p>
          <w:p>
            <w:pPr>
              <w:spacing w:after="20"/>
              <w:ind w:left="20"/>
              <w:jc w:val="both"/>
            </w:pPr>
            <w:r>
              <w:rPr>
                <w:rFonts w:ascii="Times New Roman"/>
                <w:b w:val="false"/>
                <w:i w:val="false"/>
                <w:color w:val="000000"/>
                <w:sz w:val="20"/>
              </w:rPr>
              <w:t>
"Солувит Н"</w:t>
            </w:r>
          </w:p>
          <w:p>
            <w:pPr>
              <w:spacing w:after="20"/>
              <w:ind w:left="20"/>
              <w:jc w:val="both"/>
            </w:pPr>
            <w:r>
              <w:rPr>
                <w:rFonts w:ascii="Times New Roman"/>
                <w:b w:val="false"/>
                <w:i w:val="false"/>
                <w:color w:val="000000"/>
                <w:sz w:val="20"/>
              </w:rPr>
              <w:t>
"Виталипид Н"</w:t>
            </w:r>
          </w:p>
          <w:p>
            <w:pPr>
              <w:spacing w:after="20"/>
              <w:ind w:left="20"/>
              <w:jc w:val="both"/>
            </w:pPr>
            <w:r>
              <w:rPr>
                <w:rFonts w:ascii="Times New Roman"/>
                <w:b w:val="false"/>
                <w:i w:val="false"/>
                <w:color w:val="000000"/>
                <w:sz w:val="20"/>
              </w:rPr>
              <w:t>
"Аддамель Н"</w:t>
            </w:r>
          </w:p>
          <w:p>
            <w:pPr>
              <w:spacing w:after="20"/>
              <w:ind w:left="20"/>
              <w:jc w:val="both"/>
            </w:pPr>
            <w:r>
              <w:rPr>
                <w:rFonts w:ascii="Times New Roman"/>
                <w:b w:val="false"/>
                <w:i w:val="false"/>
                <w:color w:val="000000"/>
                <w:sz w:val="20"/>
              </w:rPr>
              <w:t>
Стерофундин изотоникалық инфузияға арналған ерітінді</w:t>
            </w:r>
          </w:p>
          <w:p>
            <w:pPr>
              <w:spacing w:after="20"/>
              <w:ind w:left="20"/>
              <w:jc w:val="both"/>
            </w:pPr>
            <w:r>
              <w:rPr>
                <w:rFonts w:ascii="Times New Roman"/>
                <w:b w:val="false"/>
                <w:i w:val="false"/>
                <w:color w:val="000000"/>
                <w:sz w:val="20"/>
              </w:rPr>
              <w:t>
"ТауролокНер 100"</w:t>
            </w:r>
          </w:p>
          <w:p>
            <w:pPr>
              <w:spacing w:after="20"/>
              <w:ind w:left="20"/>
              <w:jc w:val="both"/>
            </w:pPr>
            <w:r>
              <w:rPr>
                <w:rFonts w:ascii="Times New Roman"/>
                <w:b w:val="false"/>
                <w:i w:val="false"/>
                <w:color w:val="000000"/>
                <w:sz w:val="20"/>
              </w:rPr>
              <w:t>
"Тауролок-Урокиназа 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p>
            <w:pPr>
              <w:spacing w:after="20"/>
              <w:ind w:left="20"/>
              <w:jc w:val="both"/>
            </w:pPr>
            <w:r>
              <w:rPr>
                <w:rFonts w:ascii="Times New Roman"/>
                <w:b w:val="false"/>
                <w:i w:val="false"/>
                <w:color w:val="000000"/>
                <w:sz w:val="20"/>
              </w:rPr>
              <w:t>
Анкилозды спондилоартрит, "Анкилозды спондилит"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p>
            <w:pPr>
              <w:spacing w:after="20"/>
              <w:ind w:left="20"/>
              <w:jc w:val="both"/>
            </w:pPr>
            <w:r>
              <w:rPr>
                <w:rFonts w:ascii="Times New Roman"/>
                <w:b w:val="false"/>
                <w:i w:val="false"/>
                <w:color w:val="000000"/>
                <w:sz w:val="20"/>
              </w:rPr>
              <w:t>
"Секукинумаб"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"Алгасидаза бета"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Ювенилды артрит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p>
            <w:pPr>
              <w:spacing w:after="20"/>
              <w:ind w:left="20"/>
              <w:jc w:val="both"/>
            </w:pPr>
            <w:r>
              <w:rPr>
                <w:rFonts w:ascii="Times New Roman"/>
                <w:b w:val="false"/>
                <w:i w:val="false"/>
                <w:color w:val="000000"/>
                <w:sz w:val="20"/>
              </w:rPr>
              <w:t>
"Адалимумаб"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анкилозды спондилоартрит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OVERLAP синдромы, ревматоидты артрит көріністерімен дәнекер тінінің біріктіру айқас ауруы, жүйелік склеродерма және жүйелі қызыл жегі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атриальды діріл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 (имплант)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p>
            <w:pPr>
              <w:spacing w:after="20"/>
              <w:ind w:left="20"/>
              <w:jc w:val="both"/>
            </w:pPr>
            <w:r>
              <w:rPr>
                <w:rFonts w:ascii="Times New Roman"/>
                <w:b w:val="false"/>
                <w:i w:val="false"/>
                <w:color w:val="000000"/>
                <w:sz w:val="20"/>
              </w:rPr>
              <w:t>
"Ритуксимаб"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 сал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"а-гемоглютенин типті ботулиндік токсин кешені" (диспорт)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p>
            <w:pPr>
              <w:spacing w:after="20"/>
              <w:ind w:left="20"/>
              <w:jc w:val="both"/>
            </w:pPr>
            <w:r>
              <w:rPr>
                <w:rFonts w:ascii="Times New Roman"/>
                <w:b w:val="false"/>
                <w:i w:val="false"/>
                <w:color w:val="000000"/>
                <w:sz w:val="20"/>
              </w:rPr>
              <w:t>
"Виагра"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 "Дефлазакорт"</w:t>
            </w:r>
          </w:p>
          <w:p>
            <w:pPr>
              <w:spacing w:after="20"/>
              <w:ind w:left="20"/>
              <w:jc w:val="both"/>
            </w:pPr>
            <w:r>
              <w:rPr>
                <w:rFonts w:ascii="Times New Roman"/>
                <w:b w:val="false"/>
                <w:i w:val="false"/>
                <w:color w:val="000000"/>
                <w:sz w:val="20"/>
              </w:rPr>
              <w:t>
"Голодирсен"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p>
            <w:pPr>
              <w:spacing w:after="20"/>
              <w:ind w:left="20"/>
              <w:jc w:val="both"/>
            </w:pPr>
            <w:r>
              <w:rPr>
                <w:rFonts w:ascii="Times New Roman"/>
                <w:b w:val="false"/>
                <w:i w:val="false"/>
                <w:color w:val="000000"/>
                <w:sz w:val="20"/>
              </w:rPr>
              <w:t>
"Рисдиплам"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остеопороз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(Лантус Соло 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эпилепсия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"Клобазам" </w:t>
            </w:r>
          </w:p>
          <w:p>
            <w:pPr>
              <w:spacing w:after="20"/>
              <w:ind w:left="20"/>
              <w:jc w:val="both"/>
            </w:pPr>
            <w:r>
              <w:rPr>
                <w:rFonts w:ascii="Times New Roman"/>
                <w:b w:val="false"/>
                <w:i w:val="false"/>
                <w:color w:val="000000"/>
                <w:sz w:val="20"/>
              </w:rPr>
              <w:t>
"Вигабатрин"</w:t>
            </w:r>
          </w:p>
          <w:p>
            <w:pPr>
              <w:spacing w:after="20"/>
              <w:ind w:left="20"/>
              <w:jc w:val="both"/>
            </w:pPr>
            <w:r>
              <w:rPr>
                <w:rFonts w:ascii="Times New Roman"/>
                <w:b w:val="false"/>
                <w:i w:val="false"/>
                <w:color w:val="000000"/>
                <w:sz w:val="20"/>
              </w:rPr>
              <w:t>
"Лакосамид"</w:t>
            </w:r>
          </w:p>
          <w:p>
            <w:pPr>
              <w:spacing w:after="20"/>
              <w:ind w:left="20"/>
              <w:jc w:val="both"/>
            </w:pPr>
            <w:r>
              <w:rPr>
                <w:rFonts w:ascii="Times New Roman"/>
                <w:b w:val="false"/>
                <w:i w:val="false"/>
                <w:color w:val="000000"/>
                <w:sz w:val="20"/>
              </w:rPr>
              <w:t>
"Клоназепам"</w:t>
            </w:r>
          </w:p>
          <w:p>
            <w:pPr>
              <w:spacing w:after="20"/>
              <w:ind w:left="20"/>
              <w:jc w:val="both"/>
            </w:pPr>
            <w:r>
              <w:rPr>
                <w:rFonts w:ascii="Times New Roman"/>
                <w:b w:val="false"/>
                <w:i w:val="false"/>
                <w:color w:val="000000"/>
                <w:sz w:val="20"/>
              </w:rPr>
              <w:t>
"Сультиам"</w:t>
            </w:r>
          </w:p>
          <w:p>
            <w:pPr>
              <w:spacing w:after="20"/>
              <w:ind w:left="20"/>
              <w:jc w:val="both"/>
            </w:pPr>
            <w:r>
              <w:rPr>
                <w:rFonts w:ascii="Times New Roman"/>
                <w:b w:val="false"/>
                <w:i w:val="false"/>
                <w:color w:val="000000"/>
                <w:sz w:val="20"/>
              </w:rPr>
              <w:t>
"Этосуксимид"</w:t>
            </w:r>
          </w:p>
          <w:p>
            <w:pPr>
              <w:spacing w:after="20"/>
              <w:ind w:left="20"/>
              <w:jc w:val="both"/>
            </w:pPr>
            <w:r>
              <w:rPr>
                <w:rFonts w:ascii="Times New Roman"/>
                <w:b w:val="false"/>
                <w:i w:val="false"/>
                <w:color w:val="000000"/>
                <w:sz w:val="20"/>
              </w:rPr>
              <w:t>
"Руфинамид"</w:t>
            </w:r>
          </w:p>
          <w:p>
            <w:pPr>
              <w:spacing w:after="20"/>
              <w:ind w:left="20"/>
              <w:jc w:val="both"/>
            </w:pPr>
            <w:r>
              <w:rPr>
                <w:rFonts w:ascii="Times New Roman"/>
                <w:b w:val="false"/>
                <w:i w:val="false"/>
                <w:color w:val="000000"/>
                <w:sz w:val="20"/>
              </w:rPr>
              <w:t>
"Мидазолам"</w:t>
            </w:r>
          </w:p>
          <w:p>
            <w:pPr>
              <w:spacing w:after="20"/>
              <w:ind w:left="20"/>
              <w:jc w:val="both"/>
            </w:pPr>
            <w:r>
              <w:rPr>
                <w:rFonts w:ascii="Times New Roman"/>
                <w:b w:val="false"/>
                <w:i w:val="false"/>
                <w:color w:val="000000"/>
                <w:sz w:val="20"/>
              </w:rPr>
              <w:t>
"Перампанел"</w:t>
            </w:r>
          </w:p>
          <w:p>
            <w:pPr>
              <w:spacing w:after="20"/>
              <w:ind w:left="20"/>
              <w:jc w:val="both"/>
            </w:pPr>
            <w:r>
              <w:rPr>
                <w:rFonts w:ascii="Times New Roman"/>
                <w:b w:val="false"/>
                <w:i w:val="false"/>
                <w:color w:val="000000"/>
                <w:sz w:val="20"/>
              </w:rPr>
              <w:t>
"Тетракозактид"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ұлпалар трансплантациядан кейінгі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p>
            <w:pPr>
              <w:spacing w:after="20"/>
              <w:ind w:left="20"/>
              <w:jc w:val="both"/>
            </w:pPr>
            <w:r>
              <w:rPr>
                <w:rFonts w:ascii="Times New Roman"/>
                <w:b w:val="false"/>
                <w:i w:val="false"/>
                <w:color w:val="000000"/>
                <w:sz w:val="20"/>
              </w:rPr>
              <w:t>
"Экулизумаб"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p>
            <w:pPr>
              <w:spacing w:after="20"/>
              <w:ind w:left="20"/>
              <w:jc w:val="both"/>
            </w:pPr>
            <w:r>
              <w:rPr>
                <w:rFonts w:ascii="Times New Roman"/>
                <w:b w:val="false"/>
                <w:i w:val="false"/>
                <w:color w:val="000000"/>
                <w:sz w:val="20"/>
              </w:rPr>
              <w:t>
(белсенділігі жоғары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жоғарғы бөлігінің орталық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p>
            <w:pPr>
              <w:spacing w:after="20"/>
              <w:ind w:left="20"/>
              <w:jc w:val="both"/>
            </w:pPr>
            <w:r>
              <w:rPr>
                <w:rFonts w:ascii="Times New Roman"/>
                <w:b w:val="false"/>
                <w:i w:val="false"/>
                <w:color w:val="000000"/>
                <w:sz w:val="20"/>
              </w:rPr>
              <w:t>
"Траклир"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Қимылдай алмайтын адамның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колит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бар гипертониялық жүрек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белгілері бар өкпенің интерстициалды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араласуы бар полиартерит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w:t>
            </w:r>
          </w:p>
          <w:p>
            <w:pPr>
              <w:spacing w:after="20"/>
              <w:ind w:left="20"/>
              <w:jc w:val="both"/>
            </w:pPr>
            <w:r>
              <w:rPr>
                <w:rFonts w:ascii="Times New Roman"/>
                <w:b w:val="false"/>
                <w:i w:val="false"/>
                <w:color w:val="000000"/>
                <w:sz w:val="20"/>
              </w:rPr>
              <w:t>
В-жасушалы лимфоцитарлы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церебральды сал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С1-эстеразы человеческий"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кардиомиопатия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"Валсартан+Сакубитрил"</w:t>
            </w:r>
          </w:p>
          <w:p>
            <w:pPr>
              <w:spacing w:after="20"/>
              <w:ind w:left="20"/>
              <w:jc w:val="both"/>
            </w:pPr>
            <w:r>
              <w:rPr>
                <w:rFonts w:ascii="Times New Roman"/>
                <w:b w:val="false"/>
                <w:i w:val="false"/>
                <w:color w:val="000000"/>
                <w:sz w:val="20"/>
              </w:rPr>
              <w:t>
"Эплеренон"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Мисатения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88.8 айырбастаудың басқа нақтыланған бұзушылықтары, қышқыл липаза тапшылығы, кеш нысаны. Холстерин эфирлерінің жинақталу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"Себелипаза альфа"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 басым демікпе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 Терінің, лимфа түйіндерінің, гемопоэтикалық жүйенің зақымдалуымен Лангерганс жасушаларының көпжүйелі гистиоцитозы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синдромы (Такаясу)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бұзылуымен және екі жақты тоникалық-клоникалық ұстамалармен фокальді ұстамалары бар симптоматикалық фокальді эпилепсия. Антиконвульсанттарға төзімділік. Оң жақ төбе бөлігінде түзілуі (ДНЭО-дисембриопластикалық нейроэпителиальды ісік, ми қыртысының мальформация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Криптогенді ошақты эпилепсия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MELAS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"Цитруллина малат"</w:t>
            </w:r>
          </w:p>
          <w:p>
            <w:pPr>
              <w:spacing w:after="20"/>
              <w:ind w:left="20"/>
              <w:jc w:val="both"/>
            </w:pPr>
            <w:r>
              <w:rPr>
                <w:rFonts w:ascii="Times New Roman"/>
                <w:b w:val="false"/>
                <w:i w:val="false"/>
                <w:color w:val="000000"/>
                <w:sz w:val="20"/>
              </w:rPr>
              <w:t>
"Убидекаренон"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арнайы емдік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қоспасы" </w:t>
            </w:r>
          </w:p>
          <w:p>
            <w:pPr>
              <w:spacing w:after="20"/>
              <w:ind w:left="20"/>
              <w:jc w:val="both"/>
            </w:pPr>
            <w:r>
              <w:rPr>
                <w:rFonts w:ascii="Times New Roman"/>
                <w:b w:val="false"/>
                <w:i w:val="false"/>
                <w:color w:val="000000"/>
                <w:sz w:val="20"/>
              </w:rPr>
              <w:t>
"Макарон өнімдері"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Муковисцидоз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нутриэн стандарты"</w:t>
            </w:r>
          </w:p>
          <w:p>
            <w:pPr>
              <w:spacing w:after="20"/>
              <w:ind w:left="20"/>
              <w:jc w:val="both"/>
            </w:pPr>
            <w:r>
              <w:rPr>
                <w:rFonts w:ascii="Times New Roman"/>
                <w:b w:val="false"/>
                <w:i w:val="false"/>
                <w:color w:val="000000"/>
                <w:sz w:val="20"/>
              </w:rPr>
              <w:t>
"Нутриэн Энергия"</w:t>
            </w:r>
          </w:p>
          <w:p>
            <w:pPr>
              <w:spacing w:after="20"/>
              <w:ind w:left="20"/>
              <w:jc w:val="both"/>
            </w:pPr>
            <w:r>
              <w:rPr>
                <w:rFonts w:ascii="Times New Roman"/>
                <w:b w:val="false"/>
                <w:i w:val="false"/>
                <w:color w:val="000000"/>
                <w:sz w:val="20"/>
              </w:rPr>
              <w:t>
"Нутриэн Стандарт"</w:t>
            </w:r>
          </w:p>
          <w:p>
            <w:pPr>
              <w:spacing w:after="20"/>
              <w:ind w:left="20"/>
              <w:jc w:val="both"/>
            </w:pPr>
            <w:r>
              <w:rPr>
                <w:rFonts w:ascii="Times New Roman"/>
                <w:b w:val="false"/>
                <w:i w:val="false"/>
                <w:color w:val="000000"/>
                <w:sz w:val="20"/>
              </w:rPr>
              <w:t>
"Клинутрен, Юниор ұнтақ"</w:t>
            </w:r>
          </w:p>
          <w:p>
            <w:pPr>
              <w:spacing w:after="20"/>
              <w:ind w:left="20"/>
              <w:jc w:val="both"/>
            </w:pPr>
            <w:r>
              <w:rPr>
                <w:rFonts w:ascii="Times New Roman"/>
                <w:b w:val="false"/>
                <w:i w:val="false"/>
                <w:color w:val="000000"/>
                <w:sz w:val="20"/>
              </w:rPr>
              <w:t>
"Педиашур, Здоровейка"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медициналық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"Салфеткалар" "Таңғыш" "Бинт"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ішек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"Дискофикс С" үш жүрісті кранымен IntrafixSafe SetLuerLock инфузиялық желісі. 180 сантиметр REF 4063006 (Б. Браун).</w:t>
            </w:r>
          </w:p>
          <w:p>
            <w:pPr>
              <w:spacing w:after="20"/>
              <w:ind w:left="20"/>
              <w:jc w:val="both"/>
            </w:pPr>
            <w:r>
              <w:rPr>
                <w:rFonts w:ascii="Times New Roman"/>
                <w:b w:val="false"/>
                <w:i w:val="false"/>
                <w:color w:val="000000"/>
                <w:sz w:val="20"/>
              </w:rPr>
              <w:t>
IntrafixSafe SetLuerLock инфузиялық желісі "Дискофикс С" үш жүрісті кранымен 230 сантиметр REF 4063006 (Б. Браун).</w:t>
            </w:r>
          </w:p>
          <w:p>
            <w:pPr>
              <w:spacing w:after="20"/>
              <w:ind w:left="20"/>
              <w:jc w:val="both"/>
            </w:pPr>
            <w:r>
              <w:rPr>
                <w:rFonts w:ascii="Times New Roman"/>
                <w:b w:val="false"/>
                <w:i w:val="false"/>
                <w:color w:val="000000"/>
                <w:sz w:val="20"/>
              </w:rPr>
              <w:t>
Көктамыр ішіне инфузиялық ерітінділерді мөлшерлеуге, араластыруға, құюға және енгізуге арналған инфузиялық және трансфузиялық жүйелер (антифункционалды сүзгісі бар жарыққа төзімді ұзартқыш жүйе, көлемі 1,5 миллилитр) MF1646.</w:t>
            </w:r>
          </w:p>
          <w:p>
            <w:pPr>
              <w:spacing w:after="20"/>
              <w:ind w:left="20"/>
              <w:jc w:val="both"/>
            </w:pPr>
            <w:r>
              <w:rPr>
                <w:rFonts w:ascii="Times New Roman"/>
                <w:b w:val="false"/>
                <w:i w:val="false"/>
                <w:color w:val="000000"/>
                <w:sz w:val="20"/>
              </w:rPr>
              <w:t>
150 сантиметрлік Original Perfusor-leitunLuer Lock ұзартқышы 4097408 (Б. Браун).</w:t>
            </w:r>
          </w:p>
          <w:p>
            <w:pPr>
              <w:spacing w:after="20"/>
              <w:ind w:left="20"/>
              <w:jc w:val="both"/>
            </w:pPr>
            <w:r>
              <w:rPr>
                <w:rFonts w:ascii="Times New Roman"/>
                <w:b w:val="false"/>
                <w:i w:val="false"/>
                <w:color w:val="000000"/>
                <w:sz w:val="20"/>
              </w:rPr>
              <w:t>
Инъекциялық мембранасы бар Ин-стоппер-штепсель 4238010 (Б. Браун).</w:t>
            </w:r>
          </w:p>
          <w:p>
            <w:pPr>
              <w:spacing w:after="20"/>
              <w:ind w:left="20"/>
              <w:jc w:val="both"/>
            </w:pPr>
            <w:r>
              <w:rPr>
                <w:rFonts w:ascii="Times New Roman"/>
                <w:b w:val="false"/>
                <w:i w:val="false"/>
                <w:color w:val="000000"/>
                <w:sz w:val="20"/>
              </w:rPr>
              <w:t>
HydrofilmRoll пластырі.</w:t>
            </w:r>
          </w:p>
          <w:p>
            <w:pPr>
              <w:spacing w:after="20"/>
              <w:ind w:left="20"/>
              <w:jc w:val="both"/>
            </w:pPr>
            <w:r>
              <w:rPr>
                <w:rFonts w:ascii="Times New Roman"/>
                <w:b w:val="false"/>
                <w:i w:val="false"/>
                <w:color w:val="000000"/>
                <w:sz w:val="20"/>
              </w:rPr>
              <w:t>
Катетерлерді бекітуге арналған Tegaderm CHG стерильді таңғыштары.</w:t>
            </w:r>
          </w:p>
          <w:p>
            <w:pPr>
              <w:spacing w:after="20"/>
              <w:ind w:left="20"/>
              <w:jc w:val="both"/>
            </w:pPr>
            <w:r>
              <w:rPr>
                <w:rFonts w:ascii="Times New Roman"/>
                <w:b w:val="false"/>
                <w:i w:val="false"/>
                <w:color w:val="000000"/>
                <w:sz w:val="20"/>
              </w:rPr>
              <w:t>
Стерильді салфеткалар.</w:t>
            </w:r>
          </w:p>
          <w:p>
            <w:pPr>
              <w:spacing w:after="20"/>
              <w:ind w:left="20"/>
              <w:jc w:val="both"/>
            </w:pPr>
            <w:r>
              <w:rPr>
                <w:rFonts w:ascii="Times New Roman"/>
                <w:b w:val="false"/>
                <w:i w:val="false"/>
                <w:color w:val="000000"/>
                <w:sz w:val="20"/>
              </w:rPr>
              <w:t>
Өздігінен жабысатын стерильді төсегіш.</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