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5122" w14:textId="3975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қаласындағы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18 қарашадағы № 4/509 қаулысы. Алматы қаласы Әділет департаментінде 2020 жылғы 20 қарашада № 1665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министрінің міндетін атқарушының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әлеуметтік маңызы бар азық-түлік тауарларына бөлшек сауда бағаларының шекті мәндерін және оларға шекті рұқсат етілген бөлшек сауда бағаларының мөлшерін белгілеу қағидаларында және "Сауда қызметін реттеу туралы" Қазақстан Республикасының 2004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тауарларына рұқсат етілген шекті бөлшек сауда бағасы "қарақұмық жармасы (ядрица, салмақтық)" килограмына 361 теңге мөлшерінде, күнтізбелік 90 күн мерзімге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Кәсіпкерлік және инвестициялар басқармасы" коммуналдық мемлекеттік мекемесі осы қаулының әділет органдарында мемлекеттік тіркелуін, кейіннен мерзімді баспа басылымдарында ресми жариялануын және интернет-ресурста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М.С. Қиқымовқа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