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a91f" w14:textId="58ea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49/13 "2020-2022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50/14 шешімі. Солтүстік Қазақстан облысының Әділет департаментінде 2020 жылғы 13 ақпанда № 6009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49/13 "2020-2022 жылдарға арналған Қызылжар ауданының Қызылжар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73 943,9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59 933,9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49/13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