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b867" w14:textId="0cbb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49/16 "2020-2022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17 шілдедегі № 55/5 шешімі. Солтүстік Қазақстан облысының Әділет департаментінде 2020 жылғы 21 шілдеде № 6456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49/16 "2020-2022 жылдарға арналған Қызылжар ауданының Новоникольск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5874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47 527,5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39 807,5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47 527,5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27 729,3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27 729,3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- 27 729,3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27 729,3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27 729,3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17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39 807,5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39 807,5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39 807,5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47 527,5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