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b867" w14:textId="0cbb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49/16 "2020-2022 жылдарға арналған Қызылжар ауданының Новоникольск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17 шілдедегі № 55/5 шешімі. Солтүстік Қазақстан облысының Әділет департаментінде 2020 жылғы 21 шілдеде № 6456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49/16 "2020-2022 жылдарға арналған Қызылжар ауданының Новоникольск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Новоникольск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47 527,5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39 807,5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47 527,5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27 729,3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27 729,3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- 27 729,3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27 729,3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27 729,3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Новоникольск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47 527,5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39 807,5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39 807,5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39 807,5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47 527,5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-27 729,3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