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1aa1" w14:textId="8461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17 наурыздағы № 44/4 шешімі. Солтүстік Қазақстан облысының Әділет департаментінде 2020 жылғы 20 наурызда № 6113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 әкімі мәлімдеген қажеттіліктерді есепке ала отырып, 2020 жылы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1-тармағының қолданылуы ветеринария саласында қызмет атқаратын ветеринарлық пункттердің ветеринар мамандарына да қатысты. </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Усенков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