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211d" w14:textId="e402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2020 жылғы 20 мамырдағы № 187 қаулысы. Түркістан облысының Әдiлет департаментiнде 2020 жылғы 21 мамырда № 5629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қаласының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Экология, геология және табиғи ресурстар министрлігі Су ресурстары комитеті "Қазсушар" шаруашылық жүргізу құқығындағы республикалық мемлекеттік кәсіпорнының Түркістан филиалына Батыс су жинаушы коллекторы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жердің меншік иелері мен жер пайдаланушылардан алып қоймастан, жер учаскелеріне уақытша өтеусіз қысқа 3 (үш) жыл мерзімге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Түркістан облысы Арыс қаласы әкiмдiгiнiң 20.09.2022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Алынып тасталды - Түркістан облысы Арыс қаласы әкiмдiгiнiң 20.09.2022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С.Дәрібайға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қаулысы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су жинаушы коллекторы үшін қауымдық сервитут белгіленетін жер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орналасқан жері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сервитуттың әрекет ету көлемі (гектар)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шабындық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жерлер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 жері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Байырқұм ауылдық округі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