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c9aa" w14:textId="9c5c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13 қарашадағы № 61-372/VI шешiмi. Түркістан облысының Әдiлет департаментiнде 2020 жылғы 25 қарашада № 5909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82 531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61 688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2020-2022 жылдарға арналған бюджеті тиісінше 19, 20 және 21-қосымшаларға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120 756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