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c726" w14:textId="b00c7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Ақбұлақ ауылдық округі әкімінің 2020 жылғы 13 мамырдағы № 11 шешiмi. Түркістан облысының Әдiлет департаментiнде 2020 жылғы 14 мамырда № 5615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әкімшілік-аумақтық құрылысы туралы" 1993 жылғы 8 желтоқсандағы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тұрғындарының пікірін ескере отырып, Түркістан облыстық онамастика комиссиясының 2019 жылғы 26 желтоқсандағы қорытындысы негізінде Сайрам ауданы Ақбұлақ ауылдық округі әкімі 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Ақбұлақ ауылдық округінің Ақбұлақ елді мекеніндегі көшелеріне келесі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Ташимов көшесінің бірінші бөлігіне – Сауран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Ташимов көшесінің екінші бөлігіне – Яссы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Амангелді көшесінің бірінші бөлігіне – Түркістан атауы.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 Ақбұлақ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шешімді Сайрам ауданы әкімдігінің интернет-ресурсына орналастыруын қамтамасыз етсін.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