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a74d" w14:textId="eefa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294 қаулысы. Шығыс Қазақстан облысының Әділет департаментінде 2020 жылғы 28 тамызда № 7498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294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Большая Поперечная (оң жағалау) өзенінің су қорғау аймағы мен су қорғау белдеуі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