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a671" w14:textId="d2da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 Жаңа Бұқтырма кентінен солтүстік – батысқа қарай 4,9 км қашықтықта орналасқан жер учаскесі тұстамасындағы атауы жоқ № 1 және № 2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457 қаулысы. Шығыс Қазақстан облысының Әділет департаментінде 2020 жылғы 28 желтоқсанда № 8052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 Жаңа Бұқтырма кентінен солтүстік – батысқа қарай 4,9 км қашықтықта орналасқан (есептік кварталы 05-070-053) жер учаскесі тұстамасындағы атауы жоқ № 1 және № 2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 Жаңа Бұқтырма кентінен солтүстік – батысқа қарай 4,9 км қашықтықта орналасқан (есептік кварталы 05-070-053) жер учаскесі тұстамасындағы атауы жоқ № 1 және № 2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457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Алтай ауданы Жаңа Бұқтырма кентінен солтүстік – батысқа қарай 4,9 км қашықтықта орналасқан жер учаскесі (есептік кварталы 05-070-053) тұстамасындағы атауы жоқ № 1 және № 2 бұлақтарының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2061"/>
        <w:gridCol w:w="1284"/>
        <w:gridCol w:w="1479"/>
        <w:gridCol w:w="2062"/>
        <w:gridCol w:w="2062"/>
        <w:gridCol w:w="1090"/>
      </w:tblGrid>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атауы жоқ № 1 бұлақ</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атауы жоқ № 2 бұлақ</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 мен су қорғау белдеулерінің шекарасы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