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1ad6" w14:textId="2cb1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2020 жылғы 6 қаңтардағы № 37/293-VІ "Курчатов қаласының 2020 – 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2020 жылғы 1 шілдедегі № 43/331-VI шешімі. Шығыс Қазақстан облысының Әділет департаментінде 2020 жылғы 8 шілдеде № 7280 болып тіркелді. Күші жойылды - Шығыс Қазақстан облысы Курчатов қалалық мәслихатының 2020 жылғы 25 желтоқсандағы № 48/361-VI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2020 жылғы 15 маусымдағы № 39/430-VI "Шығыс Қазақстан облыстық мәслихатының 2019 жылғы 13 желтоқсандағы № 35/389-VІ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7207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2020 жылғы 6 қаңтардағы № 37/293-VI "Курчатов қаласының 2020 – 2022 жылдарға арналған бюджеті туралы" (нормативтік құқықтық актілерді мемлекеттік тіркеу Тізілімінде 6501 нөмірімен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3 303 755,0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1 291 338,0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19 102,0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3 170,0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1 990 145,0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3 547 892,7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-244 137,7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244 137,7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52 314,0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41 649,0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–233 472,7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қалалық бюджетте облыстық бюджеттен берілетін ағымдағы нысаналы трансферттер 415 694,0 мың теңге сомасында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қалалық бюджетте республикалық бюджеттен берілетін ағымдағы нысаналы трансферттер 271 794,0 мың теңге сомасында қарастырылсын.";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37/293-VI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