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d3a" w14:textId="6448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6 қаңтардағы № 37/293-VІ "Курчатов қаласының 2020 – 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11 тамыздағы № 44/337-VI шешімі. Шығыс Қазақстан облысының Әділет департаментінде 2020 жылғы 18 тамызда № 7454 болып тіркелді. Күші жойылды - Шығыс Қазақстан облысы Курчатов қалалық мәслихатының 2020 жылғы 25 желтоқсандағы № 48/361-VI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Курчатов қалалық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2020 жылғы 17 шілдедегі № 40/461-VI "Шығыс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7414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2020 жылғы 6 қаңтардағы № 37/293-VI "Курчатов қаласының 2020 – 2022 жылдарға арналған бюджеті туралы" (нормативтік құқықтық актілерді мемлекеттік тіркеу Тізілімінде 6501 нөмірімен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3 541 247,0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1 291 338,0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3 170,0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2 227 637,0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3 827 033,7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-285 786,7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285 786,7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52 314,0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–233 472,7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қалалық бюджетте облыстық бюджеттен берілетін ағымдағы нысаналы трансферттер 653 186,0 мың теңге сомасында қарастырылсын";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44/337-VI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85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2 227 637,0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3 827 033,7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269 981,7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1 242 039,7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247 954,9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905 541,1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792 906,5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88 543,7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186 295,9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122 129,2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1 249 598,2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751 642,7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213 206,5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213 206,5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179 268,5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57 909,7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147 754,3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-285 786,7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285 786,7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