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641" w14:textId="8245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43/320-VІ "2020 жылға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46/363-VI шешімі. Шығыс Қазақстан облысының Әділет департаментінде 2020 жылғы 22 сәуірде № 6968 болып тіркелді. Күші жойылды - Шығыс Қазақстан облысы Аягөз аудандық мәслихатының 2020 жылғы 25 желтоқсандағы № 55/549-VI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№43/320-VІ "2020-2022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25442,0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987,0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24356,0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25442,0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