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8cae" w14:textId="c7f8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43/314-VІ "2020 жылға арналған Аягөз ауданының Майлин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46/357-VI шешімі. Шығыс Қазақстан облысының Әділет департаментінде 2020 жылғы 22 сәуірде № 6974 болып тіркелді. Күші жойылды - Шығыс Қазақстан облысы Аягөз аудандық мәслихатының 2020 жылғы 25 желтоқсандағы № 55/543-VI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31 наурыздағы № 45/336-VI "2020-2022 жылдарға арналған Аягөз ауданының бюджеті туралы" Аягөз аудандық мәслихатының 2019 жылғы 25 желтоқсандағы № 42/291-VІ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43/314-VІ "2020-2022 жылдарға арналған Аягөз ауданының Майлин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6588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Майлин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17962,0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912,0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