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05a4" w14:textId="c3f0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43/311-VІ "2020-2022 жылдарға арналған Аягөз ауданының Қопа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46/354-VI шешімі. Шығыс Қазақстан облысының Әділет департаментінде 2020 жылғы 22 сәуірде № 6977 болып тіркелді. Күші жойылды - Шығыс Қазақстан облысы Аягөз аудандық мәслихатының 2020 жылғы 25 желтоқсандағы № 55/540-VI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31 наурыздағы № 45/336-VI "2020-2022 жылдарға арналған Аягөз ауданының бюджеті туралы" Аягөз аудандық мәслихатының 2019 жылғы 25 желтоқсандағы № 42/291-VІ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43/311-VІ "2020-2022 жылдарға арналған Аягөз ауданының Қопа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6592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23233,0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3430,0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