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a1bf" w14:textId="beea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5-VІ "2020-2022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48-VI шешімі. Шығыс Қазақстан облысының Әділет департаментінде 2020 жылғы 23 сәуірде № 6984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613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4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1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