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0412" w14:textId="584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27 сәуірдегі № 47/372-VI шешімі. Шығыс Қазақстан облысының Әділет департаментінде 2020 жылғы 30 сәуірде № 7035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2020 жылғы 22 сәуірдегі №38/424-VI "2020-2022 жылдарға арналған облыстық бюджет туралы" Шығыс Қазақстан облыстық мәслихатының 2019 жылғы 13 желтоқсандағы №35/389-VІ шешіміне өзгерістер және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6993 нөмірімен тіркелген) сәйкес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13877675,8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7582909,0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6227636,8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14389299,1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591127,3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490371,0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108735,3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Аягөз ауданының атқарушы органының резерві 200000,0 мың теңге сомасында бекітілсін.";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13877675,8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7582909,0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6227636,8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6220995,7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14389299,1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1399735,8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1132559,8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7863000,3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6910729,3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6606891,3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1062263,7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555751,7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- 591127,3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