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08bf" w14:textId="ce5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43/301-VІ "2020-2022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30 сәуірдегі № 47/376-VI шешімі. Шығыс Қазақстан облысының Әділет департаментінде 2020 жылғы 6 мамырда № 7048 болып тіркелді. Күші жойылды - Шығыс Қазақстан облысы Аягөз аудандық мәслихатының 2020 жылғы 25 желтоқсандағы № 55/530-VI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сәуірдегі № 47/372-VI "2020-2022 жылдарға арналған Аягөз ауданының бюджеті туралы" Аягөз аудандық мәслихатының 2019 жылғы 25 желтоқсандағы №42/291-VІ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7035 нөмірімен тіркелген)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43/301-VІ "2020-2022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6581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176162,0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30874,0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145282,0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176260,5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- 98,5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98,5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47/376-VI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кенттік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176260,5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