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e595" w14:textId="fcbe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43/316-VІ "2020-2022 жылдарға арналған Аягөз ауданының Мамырсу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16 қыркүйектегі № 52/461-VI шешімі. Шығыс Қазақстан облысының Әділет департаментінде 2020 жылғы 25 қыркүйекте № 7576 болып тіркелді. Күші жойылды - Шығыс Қазақстан облысы Аягөз аудандық мәслихатының 2020 жылғы 25 желтоқсандағы № 55/545-VI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55/545-VI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04 қыркүйектегі № 52/432-VI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7523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43/316-VІ "2020-2022 жылдарға арналған Аягөз ауданының Мамырсу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6586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57217,0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51132,0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57264,5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47,5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47,5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52/461-VI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Мамырсу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