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7906" w14:textId="ab27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43/315-VІ "2020-2022 жылдарға арналған Аягөз ауданының Малкелді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52/460-VI шешімі. Шығыс Қазақстан облысының Әділет департаментінде 2020 жылғы 25 қыркүйекте № 7585 болып тіркелді. Күші жойылды - Шығыс Қазақстан облысы Аягөз аудандық мәслихатының 2020 жылғы 25 желтоқсандағы № 55/544-VI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43/315-VІ "2020-2022 жылдарға арналған Аягөз ауданының Малкелді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6587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16194,7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368,0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409,7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15417,0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16194,7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52/460-VI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Малкелді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