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d8d3" w14:textId="a4b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23 қазандағы № 53/469-VI шешімі. Шығыс Қазақстан облысының Әділет департаментінде 2020 жылғы 5 қарашада № 7774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2020 жылғы 09 қазандағы №42/475-VI "2020-2022 жылдарға арналған облыстық бюджет туралы" Шығыс Қазақстан облыстық мәслихатының 2019 жылғы 13 желтоқсандағы №35/389-VІ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7648 нөмірімен тіркелген)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15520923,8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8677857,0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17110,8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47759,0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6778197,0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16077612,3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7979,0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- 636192,5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636192,5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475282,0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168889,5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Аягөз ауданының атқарушы органының резерві 218000,0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53/469-VI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15520923,8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3188735,5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2525114,6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6778197,0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6771555,9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16077612,3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2175401,1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1540812,5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1488182,5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8385701,7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7242294,7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6928490,6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1608417,2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1383038,5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- 636192,5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