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408b" w14:textId="7b5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43/301-VІ "2020-2022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54/507-VI шешімі. Шығыс Қазақстан облысының Әділет департаментінде 2020 жылғы 10 желтоқсанда № 7959 болып тіркелді. Күші жойылды - Шығыс Қазақстан облысы Аягөз аудандық мәслихатының 2020 жылғы 25 желтоқсандағы № 55/530-VI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55/530-VI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43/301-VІ "2020-2022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6581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170479,0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29324,0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141149,0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175821,9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- 5342,9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5342,9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5342,9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54/507-VI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Ақтоғай кенттік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175821,9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