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36b1" w14:textId="1d13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Аягөз аудандық мәслихатының 2020 жылғы 25 желтоқсандағы № 55/527-VI шешімі. Шығыс Қазақстан облысының Әділет департаментінде 2020 жылғы 28 желтоқсанда № 8045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Аягөз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 ақылар мен тарифтiк мөлшерлемелер белгіленсін.</w:t>
      </w:r>
    </w:p>
    <w:bookmarkEnd w:id="1"/>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саласындағы мамандар лауазымдарының тiзбесiн жергiлiктi өкiлдi органмен келiсу бойынша жергiлiктi атқарушы орган айқындайды.</w:t>
      </w:r>
    </w:p>
    <w:bookmarkStart w:name="z5" w:id="2"/>
    <w:p>
      <w:pPr>
        <w:spacing w:after="0"/>
        <w:ind w:left="0"/>
        <w:jc w:val="both"/>
      </w:pPr>
      <w:r>
        <w:rPr>
          <w:rFonts w:ascii="Times New Roman"/>
          <w:b w:val="false"/>
          <w:i w:val="false"/>
          <w:color w:val="000000"/>
          <w:sz w:val="28"/>
        </w:rPr>
        <w:t xml:space="preserve">
      2. Аягөз аудандық мәслихатының 2020 жылғы 14 сәуірдегі №46/368-VI "Жоғарлатылған лауазымдық айлылықтар мен тарифтік мөлшерлемелер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6950 нөмірімен тіркелген, Қазақстан Республикасының нормативтік құқықтық актілерінің электрондық түрдегі эталондық бақылау банкінде 2020 жылдың 21 сәуірінде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енгізіледі және 2021 жылғы 1 қаңтардан бастап туындаған қатынастарға тарайды.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