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86d3" w14:textId="8de8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2018 жылғы 12 наурыздағы № 21/4-VІ ""Бесқарағай аудандық мәслихатының аппараты" мемлекеттік мекемесінің "Б" корпусы мемлекеттік әкімшілік қызметкерлерінің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27 қазандағы № 57/14-VI шешімі. Шығыс Қазақстан облысының Әділет департаментінде 2020 жылғы 6 қарашада № 7777 болып тіркелді. Күші жойылды - Шығыс Қазақстан облысы Бесқарағай аудандық мәслихатының 2022 жылғы 31 мамырдағы № 20/2-VII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31.05.2022 </w:t>
      </w:r>
      <w:r>
        <w:rPr>
          <w:rFonts w:ascii="Times New Roman"/>
          <w:b w:val="false"/>
          <w:i w:val="false"/>
          <w:color w:val="ff0000"/>
          <w:sz w:val="28"/>
        </w:rPr>
        <w:t>№ 20/2-VII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 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2018 жылғы 12 наурыздағы № 21/4-VІ ""Бесқарағай аудандық мәслихатының аппараты" мемлекеттік мекемесінің "Б" корпусы мемлекеттік әкімшілік қызметкерлерінің қызметін бағалаудың әдістемесін бекіту туралы" (нормативтік құқықтық актілерді мемлекеттік тіркеу Тізілімінде 5586 нөмірімен тіркелген, Қазақстан Республикасы нормативтік құқықтық актілерінің Эталондық бақылау банкінде электрондық түрде 2018 жылғы 10 сәуірде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Бесқарағай аудандық мәслихатының аппараты мемлекеттік мекемесінің "Б" корпусы мемлекеттік әкімшілік қызметкерлерінің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бірінші абзацына орыс тілінде өзгеріс енгізілді, мемлекеттік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абзацы мынадай редакцияда жазылсын:</w:t>
      </w:r>
    </w:p>
    <w:bookmarkStart w:name="z12" w:id="4"/>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34-тармаққа</w:t>
      </w:r>
      <w:r>
        <w:rPr>
          <w:rFonts w:ascii="Times New Roman"/>
          <w:b w:val="false"/>
          <w:i w:val="false"/>
          <w:color w:val="000000"/>
          <w:sz w:val="28"/>
        </w:rPr>
        <w:t xml:space="preserve"> орыс тілінде өзгеріс енгізілді, мемлекеттік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39-тармаққа</w:t>
      </w:r>
      <w:r>
        <w:rPr>
          <w:rFonts w:ascii="Times New Roman"/>
          <w:b w:val="false"/>
          <w:i w:val="false"/>
          <w:color w:val="000000"/>
          <w:sz w:val="28"/>
        </w:rPr>
        <w:t xml:space="preserve"> орыс тілінде өзгеріс енгізілді, мемлекеттік тіліндегі мәтін өзгермейді;</w:t>
      </w:r>
    </w:p>
    <w:bookmarkStart w:name="z15" w:id="5"/>
    <w:p>
      <w:pPr>
        <w:spacing w:after="0"/>
        <w:ind w:left="0"/>
        <w:jc w:val="both"/>
      </w:pPr>
      <w:r>
        <w:rPr>
          <w:rFonts w:ascii="Times New Roman"/>
          <w:b w:val="false"/>
          <w:i w:val="false"/>
          <w:color w:val="000000"/>
          <w:sz w:val="28"/>
        </w:rPr>
        <w:t xml:space="preserve">
      аталған шешіммен бекітілген Бесқарағай аудандық мәслихатының аппараты мемлекеттік мекемесінің "Б" корпусы мемлекеттік әкімшілік қызметкерлерінің қызметін бағалаудың әдістемесінің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6"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1" w:id="7"/>
    <w:p>
      <w:pPr>
        <w:spacing w:after="0"/>
        <w:ind w:left="0"/>
        <w:jc w:val="left"/>
      </w:pPr>
      <w:r>
        <w:rPr>
          <w:rFonts w:ascii="Times New Roman"/>
          <w:b/>
          <w:i w:val="false"/>
          <w:color w:val="000000"/>
        </w:rPr>
        <w:t xml:space="preserve"> Құзыреттердің мінез-құлық индикаторлары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 </w:t>
            </w:r>
          </w:p>
          <w:p>
            <w:pPr>
              <w:spacing w:after="20"/>
              <w:ind w:left="20"/>
              <w:jc w:val="both"/>
            </w:pPr>
            <w:r>
              <w:rPr>
                <w:rFonts w:ascii="Times New Roman"/>
                <w:b w:val="false"/>
                <w:i w:val="false"/>
                <w:color w:val="000000"/>
                <w:sz w:val="20"/>
              </w:rPr>
              <w:t xml:space="preserve">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xml:space="preserve">Қызметкерлердің қойылған міндеттердің орындалуы барысындағы қызметіне бақылау жүргізеді; </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 </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xml:space="preserve">Қызметкерлердің қойылған міндеттердің орындалуына бақылау жүргізбейді; </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Басымдылығына қарай тапсырмаларды маңыздылығы ретімен қояды; </w:t>
            </w:r>
          </w:p>
          <w:p>
            <w:pPr>
              <w:spacing w:after="20"/>
              <w:ind w:left="20"/>
              <w:jc w:val="both"/>
            </w:pPr>
            <w:r>
              <w:rPr>
                <w:rFonts w:ascii="Times New Roman"/>
                <w:b w:val="false"/>
                <w:i w:val="false"/>
                <w:color w:val="000000"/>
                <w:sz w:val="20"/>
              </w:rPr>
              <w:t xml:space="preserve">Басшылыққа сапалы құжаттар дайындайды және енгізеді.; </w:t>
            </w: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xml:space="preserve">Сапасыз құжаттар әзірлейді; </w:t>
            </w:r>
          </w:p>
          <w:p>
            <w:pPr>
              <w:spacing w:after="20"/>
              <w:ind w:left="20"/>
              <w:jc w:val="both"/>
            </w:pPr>
            <w:r>
              <w:rPr>
                <w:rFonts w:ascii="Times New Roman"/>
                <w:b w:val="false"/>
                <w:i w:val="false"/>
                <w:color w:val="000000"/>
                <w:sz w:val="20"/>
              </w:rPr>
              <w:t xml:space="preserve">Жедел жұмыс жасамайды; </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сенімді қарым-қатынас орнатады; </w:t>
            </w:r>
          </w:p>
          <w:p>
            <w:pPr>
              <w:spacing w:after="20"/>
              <w:ind w:left="20"/>
              <w:jc w:val="both"/>
            </w:pPr>
            <w:r>
              <w:rPr>
                <w:rFonts w:ascii="Times New Roman"/>
                <w:b w:val="false"/>
                <w:i w:val="false"/>
                <w:color w:val="000000"/>
                <w:sz w:val="20"/>
              </w:rPr>
              <w:t xml:space="preserve">Бөлімшенің қоғаммен тиімді жұмысын ұйымдастыру бойынша ұсыныс жасайды; </w:t>
            </w:r>
          </w:p>
          <w:p>
            <w:pPr>
              <w:spacing w:after="20"/>
              <w:ind w:left="20"/>
              <w:jc w:val="both"/>
            </w:pPr>
            <w:r>
              <w:rPr>
                <w:rFonts w:ascii="Times New Roman"/>
                <w:b w:val="false"/>
                <w:i w:val="false"/>
                <w:color w:val="000000"/>
                <w:sz w:val="20"/>
              </w:rPr>
              <w:t xml:space="preserve">Бірлесіп жұмыс атқару үшін әріптестерімен тәжірибесімен және білімімен бөліседі; </w:t>
            </w:r>
          </w:p>
          <w:p>
            <w:pPr>
              <w:spacing w:after="20"/>
              <w:ind w:left="20"/>
              <w:jc w:val="both"/>
            </w:pPr>
            <w:r>
              <w:rPr>
                <w:rFonts w:ascii="Times New Roman"/>
                <w:b w:val="false"/>
                <w:i w:val="false"/>
                <w:color w:val="000000"/>
                <w:sz w:val="20"/>
              </w:rPr>
              <w:t>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өзара сенімсіз қарым-қатынас орнатады; </w:t>
            </w:r>
          </w:p>
          <w:p>
            <w:pPr>
              <w:spacing w:after="20"/>
              <w:ind w:left="20"/>
              <w:jc w:val="both"/>
            </w:pPr>
            <w:r>
              <w:rPr>
                <w:rFonts w:ascii="Times New Roman"/>
                <w:b w:val="false"/>
                <w:i w:val="false"/>
                <w:color w:val="000000"/>
                <w:sz w:val="20"/>
              </w:rPr>
              <w:t xml:space="preserve">Бөлімше және қоғаммен тиімді жұмыс ұйымдастыру бойынша ұсыныс жасамайды; </w:t>
            </w:r>
          </w:p>
          <w:p>
            <w:pPr>
              <w:spacing w:after="20"/>
              <w:ind w:left="20"/>
              <w:jc w:val="both"/>
            </w:pPr>
            <w:r>
              <w:rPr>
                <w:rFonts w:ascii="Times New Roman"/>
                <w:b w:val="false"/>
                <w:i w:val="false"/>
                <w:color w:val="000000"/>
                <w:sz w:val="20"/>
              </w:rPr>
              <w:t xml:space="preserve">Бірлесіп жұмыс атқару үшін әріптестерімен тәжірибесімен және білімімен бөліспейді; </w:t>
            </w:r>
          </w:p>
          <w:p>
            <w:pPr>
              <w:spacing w:after="20"/>
              <w:ind w:left="20"/>
              <w:jc w:val="both"/>
            </w:pPr>
            <w:r>
              <w:rPr>
                <w:rFonts w:ascii="Times New Roman"/>
                <w:b w:val="false"/>
                <w:i w:val="false"/>
                <w:color w:val="000000"/>
                <w:sz w:val="20"/>
              </w:rPr>
              <w:t>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талқылайды; </w:t>
            </w:r>
          </w:p>
          <w:p>
            <w:pPr>
              <w:spacing w:after="20"/>
              <w:ind w:left="20"/>
              <w:jc w:val="both"/>
            </w:pPr>
            <w:r>
              <w:rPr>
                <w:rFonts w:ascii="Times New Roman"/>
                <w:b w:val="false"/>
                <w:i w:val="false"/>
                <w:color w:val="000000"/>
                <w:sz w:val="20"/>
              </w:rPr>
              <w:t xml:space="preserve">Әртүрлі дереккөздерден алынған мағлұматтарды ескере отырып, мүмкін болатын қауіптерді талдайды және болжамдайды; </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xml:space="preserve">Әртүрлі дереккөздерден алынған мағлұматтарды ескермейді, мүмкін болатын қауіптерді талдамайды және болжамайды; </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алушыға дөрекілік және немқұрайлылық білдіреді; </w:t>
            </w:r>
          </w:p>
          <w:p>
            <w:pPr>
              <w:spacing w:after="20"/>
              <w:ind w:left="20"/>
              <w:jc w:val="both"/>
            </w:pPr>
            <w:r>
              <w:rPr>
                <w:rFonts w:ascii="Times New Roman"/>
                <w:b w:val="false"/>
                <w:i w:val="false"/>
                <w:color w:val="000000"/>
                <w:sz w:val="20"/>
              </w:rPr>
              <w:t xml:space="preserve">Тұтынушының сұрақтары мен мәселелеріне мән бермейді; </w:t>
            </w: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тұтынушыға ақпараттандыру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Бағыныстағыларды қызмет алушыларды қолжетімді ақпараттандыруға бағдарлайды; </w:t>
            </w:r>
          </w:p>
          <w:p>
            <w:pPr>
              <w:spacing w:after="20"/>
              <w:ind w:left="20"/>
              <w:jc w:val="both"/>
            </w:pPr>
            <w:r>
              <w:rPr>
                <w:rFonts w:ascii="Times New Roman"/>
                <w:b w:val="false"/>
                <w:i w:val="false"/>
                <w:color w:val="000000"/>
                <w:sz w:val="20"/>
              </w:rPr>
              <w:t xml:space="preserve">Тұтынушыға ақпараттарды құрметпен және игілікпен жеткізеді; </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Бағыныстағылармен қызмет алушыларды ақпараттандыру бойынша жұмыс жүргізбейді; </w:t>
            </w:r>
          </w:p>
          <w:p>
            <w:pPr>
              <w:spacing w:after="20"/>
              <w:ind w:left="20"/>
              <w:jc w:val="both"/>
            </w:pPr>
            <w:r>
              <w:rPr>
                <w:rFonts w:ascii="Times New Roman"/>
                <w:b w:val="false"/>
                <w:i w:val="false"/>
                <w:color w:val="000000"/>
                <w:sz w:val="20"/>
              </w:rPr>
              <w:t xml:space="preserve">Тұтынушыға ақпараттарды жеткізбейді немесе немқұрайлы және жақтырмай жеткізеді; </w:t>
            </w:r>
          </w:p>
          <w:p>
            <w:pPr>
              <w:spacing w:after="20"/>
              <w:ind w:left="20"/>
              <w:jc w:val="both"/>
            </w:pPr>
            <w:r>
              <w:rPr>
                <w:rFonts w:ascii="Times New Roman"/>
                <w:b w:val="false"/>
                <w:i w:val="false"/>
                <w:color w:val="000000"/>
                <w:sz w:val="20"/>
              </w:rPr>
              <w:t>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 ақпараттандырудың тиімді тәсілдерін қолданады; </w:t>
            </w:r>
          </w:p>
          <w:p>
            <w:pPr>
              <w:spacing w:after="20"/>
              <w:ind w:left="20"/>
              <w:jc w:val="both"/>
            </w:pPr>
            <w:r>
              <w:rPr>
                <w:rFonts w:ascii="Times New Roman"/>
                <w:b w:val="false"/>
                <w:i w:val="false"/>
                <w:color w:val="000000"/>
                <w:sz w:val="20"/>
              </w:rPr>
              <w:t xml:space="preserve">Тұтынушыға ақпаратты қолжетімді ауызша және жазбаша түрде жеткізеді; </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 ақпараттандырудың тиімсіз тәсілдерін қолданады; </w:t>
            </w:r>
          </w:p>
          <w:p>
            <w:pPr>
              <w:spacing w:after="20"/>
              <w:ind w:left="20"/>
              <w:jc w:val="both"/>
            </w:pPr>
            <w:r>
              <w:rPr>
                <w:rFonts w:ascii="Times New Roman"/>
                <w:b w:val="false"/>
                <w:i w:val="false"/>
                <w:color w:val="000000"/>
                <w:sz w:val="20"/>
              </w:rPr>
              <w:t xml:space="preserve">Тұтынушыға ақпаратты ауызша және жазбаша түрде жеткізбейді немесе түсініксіз жеткізеді; </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Жеделдік</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rPr>
                <w:rFonts w:ascii="Times New Roman"/>
                <w:b w:val="false"/>
                <w:i w:val="false"/>
                <w:color w:val="000000"/>
                <w:sz w:val="20"/>
              </w:rPr>
              <w:t xml:space="preserve">Болып жатқан өзгерістерге талдау жасайды және жұмысты жақсарту бойынша уақтылы шаралар қабылдайды; </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rPr>
                <w:rFonts w:ascii="Times New Roman"/>
                <w:b w:val="false"/>
                <w:i w:val="false"/>
                <w:color w:val="000000"/>
                <w:sz w:val="20"/>
              </w:rPr>
              <w:t xml:space="preserve">Болып жатқан өзгерістерге талдау жасамайды және жұмысты жақсарту бойынша шаралар қабылдамайды; </w:t>
            </w:r>
          </w:p>
          <w:p>
            <w:pPr>
              <w:spacing w:after="20"/>
              <w:ind w:left="20"/>
              <w:jc w:val="both"/>
            </w:pPr>
            <w:r>
              <w:rPr>
                <w:rFonts w:ascii="Times New Roman"/>
                <w:b w:val="false"/>
                <w:i w:val="false"/>
                <w:color w:val="000000"/>
                <w:sz w:val="20"/>
              </w:rPr>
              <w:t>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қолданыстағы рәсімдері мен әдістерін ұстанады; </w:t>
            </w:r>
          </w:p>
          <w:p>
            <w:pPr>
              <w:spacing w:after="20"/>
              <w:ind w:left="20"/>
              <w:jc w:val="both"/>
            </w:pPr>
            <w:r>
              <w:rPr>
                <w:rFonts w:ascii="Times New Roman"/>
                <w:b w:val="false"/>
                <w:i w:val="false"/>
                <w:color w:val="000000"/>
                <w:sz w:val="20"/>
              </w:rPr>
              <w:t xml:space="preserve">Жаңа бағыттар мен әдістерді зерттеп оларды енгізбейді; </w:t>
            </w:r>
          </w:p>
          <w:p>
            <w:pPr>
              <w:spacing w:after="20"/>
              <w:ind w:left="20"/>
              <w:jc w:val="both"/>
            </w:pPr>
            <w:r>
              <w:rPr>
                <w:rFonts w:ascii="Times New Roman"/>
                <w:b w:val="false"/>
                <w:i w:val="false"/>
                <w:color w:val="000000"/>
                <w:sz w:val="20"/>
              </w:rPr>
              <w:t xml:space="preserve">Өзгеріс жағдайларында өзін-өзі бақылай алмайды; </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 Мақсатқа жету үшін өзінің және бағыныстыларының құзыреттерін дамытпайды;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rPr>
                <w:rFonts w:ascii="Times New Roman"/>
                <w:b w:val="false"/>
                <w:i w:val="false"/>
                <w:color w:val="000000"/>
                <w:sz w:val="20"/>
              </w:rPr>
              <w:t xml:space="preserve">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rPr>
                <w:rFonts w:ascii="Times New Roman"/>
                <w:b w:val="false"/>
                <w:i w:val="false"/>
                <w:color w:val="000000"/>
                <w:sz w:val="20"/>
              </w:rPr>
              <w:t xml:space="preserve">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Ұжымның мүддесін өз мүддесінен жоғары қояды; </w:t>
            </w: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xml:space="preserve">Ұжымдағы сыйластық пен сенім ахуалын қалыптастырады; </w:t>
            </w:r>
          </w:p>
          <w:p>
            <w:pPr>
              <w:spacing w:after="20"/>
              <w:ind w:left="20"/>
              <w:jc w:val="both"/>
            </w:pPr>
            <w:r>
              <w:rPr>
                <w:rFonts w:ascii="Times New Roman"/>
                <w:b w:val="false"/>
                <w:i w:val="false"/>
                <w:color w:val="000000"/>
                <w:sz w:val="20"/>
              </w:rPr>
              <w:t xml:space="preserve">Бағыныстылардың іс-әрекетінде шынайылық және әділеттілік принциптерін сақтауды қамтамасыз етеді; </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w:t>
            </w:r>
          </w:p>
          <w:p>
            <w:pPr>
              <w:spacing w:after="20"/>
              <w:ind w:left="20"/>
              <w:jc w:val="both"/>
            </w:pPr>
            <w:r>
              <w:rPr>
                <w:rFonts w:ascii="Times New Roman"/>
                <w:b w:val="false"/>
                <w:i w:val="false"/>
                <w:color w:val="000000"/>
                <w:sz w:val="20"/>
              </w:rPr>
              <w:t xml:space="preserve">Өз мүддесін ұжым мүддесінен жоғары қояды; </w:t>
            </w:r>
          </w:p>
          <w:p>
            <w:pPr>
              <w:spacing w:after="20"/>
              <w:ind w:left="20"/>
              <w:jc w:val="both"/>
            </w:pP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xml:space="preserve">Ұжымдағы сыйластық пен сенім ахуалын қалыптастырмайды; </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